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8F9E" w14:textId="77777777" w:rsidR="002C065A" w:rsidRDefault="002C065A" w:rsidP="002C065A">
      <w:pPr>
        <w:spacing w:line="560" w:lineRule="exact"/>
        <w:jc w:val="center"/>
        <w:rPr>
          <w:rFonts w:eastAsia="標楷體"/>
          <w:b/>
          <w:color w:val="262626"/>
          <w:sz w:val="36"/>
        </w:rPr>
      </w:pPr>
      <w:r>
        <w:rPr>
          <w:rFonts w:eastAsia="標楷體" w:hint="eastAsia"/>
          <w:b/>
          <w:color w:val="262626"/>
          <w:sz w:val="36"/>
        </w:rPr>
        <w:t>新聞稿</w:t>
      </w:r>
    </w:p>
    <w:p w14:paraId="7C957CC8" w14:textId="77777777" w:rsidR="002C065A" w:rsidRDefault="002C065A" w:rsidP="002C065A">
      <w:pPr>
        <w:pStyle w:val="a3"/>
        <w:rPr>
          <w:rFonts w:ascii="Times New Roman"/>
          <w:color w:val="262626"/>
        </w:rPr>
      </w:pPr>
      <w:r>
        <w:rPr>
          <w:rFonts w:ascii="Times New Roman"/>
          <w:color w:val="262626"/>
        </w:rPr>
        <w:t>110</w:t>
      </w:r>
      <w:r>
        <w:rPr>
          <w:rFonts w:ascii="Times New Roman" w:hint="eastAsia"/>
          <w:color w:val="262626"/>
        </w:rPr>
        <w:t>年</w:t>
      </w:r>
      <w:r>
        <w:rPr>
          <w:rFonts w:ascii="Times New Roman"/>
          <w:color w:val="262626"/>
        </w:rPr>
        <w:t>7</w:t>
      </w:r>
      <w:r>
        <w:rPr>
          <w:rFonts w:ascii="Times New Roman" w:hint="eastAsia"/>
          <w:color w:val="262626"/>
        </w:rPr>
        <w:t>月</w:t>
      </w:r>
      <w:r>
        <w:rPr>
          <w:rFonts w:ascii="Times New Roman"/>
          <w:color w:val="262626"/>
        </w:rPr>
        <w:t>28</w:t>
      </w:r>
      <w:r>
        <w:rPr>
          <w:rFonts w:ascii="Times New Roman" w:hint="eastAsia"/>
          <w:color w:val="262626"/>
        </w:rPr>
        <w:t>日</w:t>
      </w:r>
    </w:p>
    <w:p w14:paraId="0DE10370" w14:textId="77777777" w:rsidR="002C065A" w:rsidRDefault="002C065A" w:rsidP="002C065A">
      <w:pPr>
        <w:spacing w:line="500" w:lineRule="exact"/>
        <w:ind w:leftChars="200" w:left="480" w:firstLineChars="200" w:firstLine="640"/>
        <w:jc w:val="both"/>
        <w:rPr>
          <w:rFonts w:eastAsia="標楷體"/>
          <w:color w:val="262626"/>
          <w:sz w:val="32"/>
        </w:rPr>
      </w:pPr>
      <w:r>
        <w:rPr>
          <w:rFonts w:eastAsia="標楷體" w:hint="eastAsia"/>
          <w:color w:val="262626"/>
          <w:sz w:val="32"/>
        </w:rPr>
        <w:t>經濟部投資審議委員會於本（</w:t>
      </w:r>
      <w:r>
        <w:rPr>
          <w:rFonts w:eastAsia="標楷體"/>
          <w:color w:val="262626"/>
          <w:sz w:val="32"/>
        </w:rPr>
        <w:t>110</w:t>
      </w:r>
      <w:r>
        <w:rPr>
          <w:rFonts w:eastAsia="標楷體" w:hint="eastAsia"/>
          <w:color w:val="262626"/>
          <w:sz w:val="32"/>
        </w:rPr>
        <w:t>）年</w:t>
      </w:r>
      <w:r>
        <w:rPr>
          <w:rFonts w:eastAsia="標楷體"/>
          <w:color w:val="262626"/>
          <w:sz w:val="32"/>
        </w:rPr>
        <w:t>7</w:t>
      </w:r>
      <w:r>
        <w:rPr>
          <w:rFonts w:eastAsia="標楷體" w:hint="eastAsia"/>
          <w:color w:val="262626"/>
          <w:sz w:val="32"/>
        </w:rPr>
        <w:t>月</w:t>
      </w:r>
      <w:r>
        <w:rPr>
          <w:rFonts w:eastAsia="標楷體"/>
          <w:color w:val="262626"/>
          <w:sz w:val="32"/>
        </w:rPr>
        <w:t>28</w:t>
      </w:r>
      <w:r>
        <w:rPr>
          <w:rFonts w:eastAsia="標楷體" w:hint="eastAsia"/>
          <w:color w:val="262626"/>
          <w:sz w:val="32"/>
        </w:rPr>
        <w:t>日召開第</w:t>
      </w:r>
      <w:r>
        <w:rPr>
          <w:rFonts w:eastAsia="標楷體"/>
          <w:color w:val="262626"/>
          <w:sz w:val="32"/>
        </w:rPr>
        <w:t>1203</w:t>
      </w:r>
      <w:r>
        <w:rPr>
          <w:rFonts w:eastAsia="標楷體" w:hint="eastAsia"/>
          <w:color w:val="262626"/>
          <w:sz w:val="32"/>
        </w:rPr>
        <w:t>次委員會議，會中計核准及備查重大投資案件計</w:t>
      </w:r>
      <w:r w:rsidR="00DE5C4B">
        <w:rPr>
          <w:rFonts w:eastAsia="標楷體" w:hint="eastAsia"/>
          <w:color w:val="262626"/>
          <w:sz w:val="32"/>
        </w:rPr>
        <w:t>8</w:t>
      </w:r>
      <w:r>
        <w:rPr>
          <w:rFonts w:eastAsia="標楷體" w:hint="eastAsia"/>
          <w:color w:val="262626"/>
          <w:sz w:val="32"/>
        </w:rPr>
        <w:t>件。</w:t>
      </w:r>
    </w:p>
    <w:p w14:paraId="0C4DA00E" w14:textId="77777777" w:rsidR="002C065A" w:rsidRDefault="002C065A" w:rsidP="002C065A">
      <w:pPr>
        <w:numPr>
          <w:ilvl w:val="0"/>
          <w:numId w:val="1"/>
        </w:numPr>
        <w:spacing w:before="120" w:after="120" w:line="560" w:lineRule="exact"/>
        <w:ind w:left="641" w:hanging="641"/>
        <w:jc w:val="both"/>
        <w:rPr>
          <w:rFonts w:eastAsia="標楷體"/>
          <w:b/>
          <w:color w:val="262626"/>
          <w:sz w:val="32"/>
        </w:rPr>
      </w:pPr>
      <w:r>
        <w:rPr>
          <w:rFonts w:eastAsia="標楷體" w:hint="eastAsia"/>
          <w:b/>
          <w:color w:val="262626"/>
          <w:sz w:val="32"/>
        </w:rPr>
        <w:t>本次委員會議核准及核備投資案統計</w:t>
      </w: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993"/>
        <w:gridCol w:w="5103"/>
      </w:tblGrid>
      <w:tr w:rsidR="002C065A" w14:paraId="40300D74" w14:textId="77777777" w:rsidTr="00EC5B10">
        <w:trPr>
          <w:cantSplit/>
          <w:trHeight w:hRule="exact" w:val="56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EDB0" w14:textId="77777777" w:rsidR="002C065A" w:rsidRDefault="002C065A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 w:hint="eastAsia"/>
                <w:color w:val="262626"/>
                <w:sz w:val="32"/>
              </w:rPr>
              <w:t>區分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400B" w14:textId="77777777" w:rsidR="002C065A" w:rsidRDefault="002C065A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 w:hint="eastAsia"/>
                <w:color w:val="262626"/>
                <w:sz w:val="32"/>
              </w:rPr>
              <w:t>件數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CE4C" w14:textId="77777777" w:rsidR="002C065A" w:rsidRDefault="002C065A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 w:hint="eastAsia"/>
                <w:color w:val="262626"/>
                <w:sz w:val="32"/>
              </w:rPr>
              <w:t>投資金額</w:t>
            </w:r>
          </w:p>
        </w:tc>
      </w:tr>
      <w:tr w:rsidR="006045B6" w14:paraId="3D042711" w14:textId="77777777" w:rsidTr="00EC5B10">
        <w:trPr>
          <w:cantSplit/>
          <w:trHeight w:hRule="exact" w:val="85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FECC" w14:textId="77777777" w:rsidR="006045B6" w:rsidRDefault="006045B6" w:rsidP="006045B6">
            <w:pPr>
              <w:jc w:val="center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 w:hint="eastAsia"/>
                <w:bCs/>
                <w:color w:val="262626"/>
                <w:sz w:val="32"/>
              </w:rPr>
              <w:t>僑外投資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A1EB" w14:textId="77777777" w:rsidR="006045B6" w:rsidRDefault="006045B6" w:rsidP="006045B6">
            <w:pPr>
              <w:jc w:val="center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/>
                <w:color w:val="262626"/>
                <w:sz w:val="32"/>
              </w:rPr>
              <w:t>1</w:t>
            </w:r>
            <w:r>
              <w:rPr>
                <w:rFonts w:eastAsia="標楷體" w:hint="eastAsia"/>
                <w:color w:val="262626"/>
                <w:sz w:val="32"/>
              </w:rPr>
              <w:t>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64A1" w14:textId="32C7F43B" w:rsidR="006045B6" w:rsidRDefault="006045B6" w:rsidP="006045B6">
            <w:pPr>
              <w:jc w:val="right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 w:hint="eastAsia"/>
                <w:color w:val="262626"/>
                <w:sz w:val="32"/>
              </w:rPr>
              <w:t>新臺幣</w:t>
            </w:r>
            <w:r w:rsidRPr="0095014F">
              <w:rPr>
                <w:rFonts w:eastAsia="標楷體"/>
                <w:color w:val="262626"/>
                <w:sz w:val="32"/>
              </w:rPr>
              <w:t>23</w:t>
            </w:r>
            <w:r w:rsidRPr="0095014F">
              <w:rPr>
                <w:rFonts w:eastAsia="標楷體" w:hint="eastAsia"/>
                <w:color w:val="262626"/>
                <w:sz w:val="32"/>
              </w:rPr>
              <w:t>億</w:t>
            </w:r>
            <w:r w:rsidRPr="0095014F">
              <w:rPr>
                <w:rFonts w:eastAsia="標楷體"/>
                <w:color w:val="262626"/>
                <w:sz w:val="32"/>
              </w:rPr>
              <w:t>1</w:t>
            </w:r>
            <w:r w:rsidRPr="0095014F">
              <w:rPr>
                <w:rFonts w:eastAsia="標楷體" w:hint="eastAsia"/>
                <w:color w:val="262626"/>
                <w:sz w:val="32"/>
              </w:rPr>
              <w:t>,</w:t>
            </w:r>
            <w:r w:rsidRPr="0095014F">
              <w:rPr>
                <w:rFonts w:eastAsia="標楷體"/>
                <w:color w:val="262626"/>
                <w:sz w:val="32"/>
              </w:rPr>
              <w:t>066</w:t>
            </w:r>
            <w:r w:rsidRPr="0095014F">
              <w:rPr>
                <w:rFonts w:eastAsia="標楷體" w:hint="eastAsia"/>
                <w:color w:val="262626"/>
                <w:sz w:val="32"/>
              </w:rPr>
              <w:t>萬</w:t>
            </w:r>
            <w:r w:rsidRPr="0095014F">
              <w:rPr>
                <w:rFonts w:eastAsia="標楷體" w:hint="eastAsia"/>
                <w:color w:val="262626"/>
                <w:sz w:val="32"/>
              </w:rPr>
              <w:t>8</w:t>
            </w:r>
            <w:r w:rsidRPr="0095014F">
              <w:rPr>
                <w:rFonts w:eastAsia="標楷體"/>
                <w:color w:val="262626"/>
                <w:sz w:val="32"/>
              </w:rPr>
              <w:t>,000</w:t>
            </w:r>
            <w:r w:rsidRPr="0095014F">
              <w:rPr>
                <w:rFonts w:eastAsia="標楷體" w:hint="eastAsia"/>
                <w:color w:val="262626"/>
                <w:sz w:val="32"/>
              </w:rPr>
              <w:t>元</w:t>
            </w:r>
          </w:p>
        </w:tc>
      </w:tr>
      <w:tr w:rsidR="002C065A" w14:paraId="63A535CB" w14:textId="77777777" w:rsidTr="00EC5B10">
        <w:trPr>
          <w:cantSplit/>
          <w:trHeight w:hRule="exact" w:val="145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81F4" w14:textId="77777777" w:rsidR="002C065A" w:rsidRDefault="002C065A">
            <w:pPr>
              <w:jc w:val="center"/>
              <w:rPr>
                <w:rFonts w:eastAsia="標楷體"/>
                <w:bCs/>
                <w:color w:val="262626"/>
                <w:sz w:val="32"/>
              </w:rPr>
            </w:pPr>
            <w:r>
              <w:rPr>
                <w:rFonts w:eastAsia="標楷體" w:hint="eastAsia"/>
                <w:bCs/>
                <w:color w:val="262626"/>
                <w:sz w:val="32"/>
              </w:rPr>
              <w:t>對外投資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521F" w14:textId="77777777" w:rsidR="002C065A" w:rsidRDefault="002C065A">
            <w:pPr>
              <w:jc w:val="center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/>
                <w:color w:val="262626"/>
                <w:sz w:val="32"/>
              </w:rPr>
              <w:t>3</w:t>
            </w:r>
            <w:r>
              <w:rPr>
                <w:rFonts w:eastAsia="標楷體" w:hint="eastAsia"/>
                <w:color w:val="262626"/>
                <w:sz w:val="32"/>
              </w:rPr>
              <w:t>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38FE" w14:textId="77777777" w:rsidR="002C065A" w:rsidRDefault="002C065A">
            <w:pPr>
              <w:jc w:val="right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 w:hint="eastAsia"/>
                <w:color w:val="262626"/>
                <w:sz w:val="32"/>
              </w:rPr>
              <w:t>美金</w:t>
            </w:r>
            <w:r>
              <w:rPr>
                <w:rFonts w:eastAsia="標楷體"/>
                <w:color w:val="262626"/>
                <w:sz w:val="32"/>
              </w:rPr>
              <w:t>29</w:t>
            </w:r>
            <w:r>
              <w:rPr>
                <w:rFonts w:eastAsia="標楷體" w:hint="eastAsia"/>
                <w:color w:val="262626"/>
                <w:sz w:val="32"/>
              </w:rPr>
              <w:t>億</w:t>
            </w:r>
            <w:r>
              <w:rPr>
                <w:rFonts w:eastAsia="標楷體"/>
                <w:color w:val="262626"/>
                <w:sz w:val="32"/>
              </w:rPr>
              <w:t>6,188</w:t>
            </w:r>
            <w:r>
              <w:rPr>
                <w:rFonts w:eastAsia="標楷體" w:hint="eastAsia"/>
                <w:color w:val="262626"/>
                <w:sz w:val="32"/>
              </w:rPr>
              <w:t>萬</w:t>
            </w:r>
            <w:r>
              <w:rPr>
                <w:rFonts w:eastAsia="標楷體"/>
                <w:color w:val="262626"/>
                <w:sz w:val="32"/>
              </w:rPr>
              <w:t>5,080</w:t>
            </w:r>
            <w:r>
              <w:rPr>
                <w:rFonts w:eastAsia="標楷體" w:hint="eastAsia"/>
                <w:color w:val="262626"/>
                <w:sz w:val="32"/>
              </w:rPr>
              <w:t>元</w:t>
            </w:r>
          </w:p>
          <w:p w14:paraId="6FA337EB" w14:textId="77777777" w:rsidR="002C065A" w:rsidRDefault="002C065A">
            <w:pPr>
              <w:jc w:val="right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/>
                <w:color w:val="262626"/>
                <w:sz w:val="32"/>
              </w:rPr>
              <w:t>(</w:t>
            </w:r>
            <w:r>
              <w:rPr>
                <w:rFonts w:eastAsia="標楷體" w:hint="eastAsia"/>
                <w:color w:val="262626"/>
                <w:sz w:val="32"/>
              </w:rPr>
              <w:t>折合新臺幣約</w:t>
            </w:r>
            <w:r>
              <w:rPr>
                <w:rFonts w:eastAsia="標楷體"/>
                <w:color w:val="262626"/>
                <w:sz w:val="32"/>
              </w:rPr>
              <w:t>823</w:t>
            </w:r>
            <w:r>
              <w:rPr>
                <w:rFonts w:eastAsia="標楷體" w:hint="eastAsia"/>
                <w:color w:val="262626"/>
                <w:sz w:val="32"/>
              </w:rPr>
              <w:t>億</w:t>
            </w:r>
            <w:r>
              <w:rPr>
                <w:rFonts w:eastAsia="標楷體"/>
                <w:color w:val="262626"/>
                <w:sz w:val="32"/>
              </w:rPr>
              <w:t>3,151</w:t>
            </w:r>
            <w:r>
              <w:rPr>
                <w:rFonts w:eastAsia="標楷體" w:hint="eastAsia"/>
                <w:color w:val="262626"/>
                <w:sz w:val="32"/>
              </w:rPr>
              <w:t>萬</w:t>
            </w:r>
            <w:r>
              <w:rPr>
                <w:rFonts w:eastAsia="標楷體"/>
                <w:color w:val="262626"/>
                <w:sz w:val="32"/>
              </w:rPr>
              <w:t>9,569</w:t>
            </w:r>
            <w:r>
              <w:rPr>
                <w:rFonts w:eastAsia="標楷體" w:hint="eastAsia"/>
                <w:color w:val="262626"/>
                <w:sz w:val="32"/>
              </w:rPr>
              <w:t>元</w:t>
            </w:r>
            <w:r>
              <w:rPr>
                <w:rFonts w:eastAsia="標楷體"/>
                <w:color w:val="262626"/>
                <w:sz w:val="32"/>
              </w:rPr>
              <w:t>)</w:t>
            </w:r>
          </w:p>
        </w:tc>
      </w:tr>
      <w:tr w:rsidR="002C065A" w14:paraId="57C8A6CF" w14:textId="77777777" w:rsidTr="00EC5B10">
        <w:trPr>
          <w:cantSplit/>
          <w:trHeight w:hRule="exact" w:val="159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9DAA" w14:textId="77777777" w:rsidR="002C065A" w:rsidRDefault="002C065A">
            <w:pPr>
              <w:jc w:val="center"/>
              <w:rPr>
                <w:rFonts w:eastAsia="標楷體"/>
                <w:bCs/>
                <w:color w:val="262626"/>
                <w:sz w:val="32"/>
              </w:rPr>
            </w:pPr>
            <w:r>
              <w:rPr>
                <w:rFonts w:eastAsia="標楷體" w:hint="eastAsia"/>
                <w:color w:val="262626"/>
                <w:sz w:val="32"/>
              </w:rPr>
              <w:t>對中國大陸投資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5255" w14:textId="77777777" w:rsidR="002C065A" w:rsidRDefault="002C065A">
            <w:pPr>
              <w:jc w:val="center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/>
                <w:color w:val="262626"/>
                <w:sz w:val="32"/>
              </w:rPr>
              <w:t>4</w:t>
            </w:r>
            <w:r>
              <w:rPr>
                <w:rFonts w:eastAsia="標楷體" w:hint="eastAsia"/>
                <w:color w:val="262626"/>
                <w:sz w:val="32"/>
              </w:rPr>
              <w:t>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5CF8" w14:textId="77777777" w:rsidR="002C065A" w:rsidRDefault="002C065A">
            <w:pPr>
              <w:jc w:val="right"/>
              <w:rPr>
                <w:rFonts w:eastAsia="標楷體"/>
                <w:color w:val="262626"/>
                <w:spacing w:val="20"/>
                <w:sz w:val="32"/>
                <w:szCs w:val="32"/>
              </w:rPr>
            </w:pPr>
            <w:r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美金</w:t>
            </w:r>
            <w:r>
              <w:rPr>
                <w:rFonts w:eastAsia="標楷體"/>
                <w:color w:val="262626"/>
                <w:spacing w:val="20"/>
                <w:sz w:val="32"/>
                <w:szCs w:val="32"/>
              </w:rPr>
              <w:t>1</w:t>
            </w:r>
            <w:r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億</w:t>
            </w:r>
            <w:r>
              <w:rPr>
                <w:rFonts w:eastAsia="標楷體"/>
                <w:color w:val="262626"/>
                <w:spacing w:val="20"/>
                <w:sz w:val="32"/>
                <w:szCs w:val="32"/>
              </w:rPr>
              <w:t>3,</w:t>
            </w:r>
            <w:r w:rsidR="001A3A79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321</w:t>
            </w:r>
            <w:r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萬元</w:t>
            </w:r>
          </w:p>
          <w:p w14:paraId="79088AFB" w14:textId="77777777" w:rsidR="002C065A" w:rsidRDefault="002C065A" w:rsidP="0012764D">
            <w:pPr>
              <w:jc w:val="right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/>
                <w:color w:val="262626"/>
                <w:sz w:val="32"/>
              </w:rPr>
              <w:t>(</w:t>
            </w:r>
            <w:r>
              <w:rPr>
                <w:rFonts w:eastAsia="標楷體" w:hint="eastAsia"/>
                <w:color w:val="262626"/>
                <w:sz w:val="32"/>
              </w:rPr>
              <w:t>折合新臺幣約</w:t>
            </w:r>
            <w:r w:rsidR="0067556F">
              <w:rPr>
                <w:rFonts w:eastAsia="標楷體" w:hint="eastAsia"/>
                <w:color w:val="262626"/>
                <w:sz w:val="32"/>
              </w:rPr>
              <w:t>36</w:t>
            </w:r>
            <w:r>
              <w:rPr>
                <w:rFonts w:eastAsia="標楷體" w:hint="eastAsia"/>
                <w:color w:val="262626"/>
                <w:sz w:val="32"/>
              </w:rPr>
              <w:t>億</w:t>
            </w:r>
            <w:r w:rsidR="0067556F">
              <w:rPr>
                <w:rFonts w:eastAsia="標楷體" w:hint="eastAsia"/>
                <w:color w:val="262626"/>
                <w:sz w:val="32"/>
              </w:rPr>
              <w:t>7,504</w:t>
            </w:r>
            <w:r>
              <w:rPr>
                <w:rFonts w:eastAsia="標楷體" w:hint="eastAsia"/>
                <w:color w:val="262626"/>
                <w:sz w:val="32"/>
              </w:rPr>
              <w:t>萬</w:t>
            </w:r>
            <w:r w:rsidR="0067556F">
              <w:rPr>
                <w:rFonts w:eastAsia="標楷體" w:hint="eastAsia"/>
                <w:color w:val="262626"/>
                <w:sz w:val="32"/>
              </w:rPr>
              <w:t>1370</w:t>
            </w:r>
            <w:r>
              <w:rPr>
                <w:rFonts w:eastAsia="標楷體" w:hint="eastAsia"/>
                <w:color w:val="262626"/>
                <w:sz w:val="32"/>
              </w:rPr>
              <w:t>元</w:t>
            </w:r>
            <w:r>
              <w:rPr>
                <w:rFonts w:eastAsia="標楷體"/>
                <w:color w:val="262626"/>
                <w:sz w:val="32"/>
              </w:rPr>
              <w:t>)</w:t>
            </w:r>
          </w:p>
        </w:tc>
      </w:tr>
    </w:tbl>
    <w:p w14:paraId="47B43521" w14:textId="77777777" w:rsidR="002C065A" w:rsidRDefault="002C065A" w:rsidP="00EA1467">
      <w:pPr>
        <w:snapToGrid w:val="0"/>
        <w:jc w:val="both"/>
        <w:rPr>
          <w:rFonts w:eastAsia="標楷體"/>
          <w:color w:val="262626"/>
        </w:rPr>
      </w:pPr>
      <w:r>
        <w:rPr>
          <w:rFonts w:eastAsia="標楷體" w:hint="eastAsia"/>
          <w:color w:val="262626"/>
        </w:rPr>
        <w:t>註：本表匯率係以中央銀行</w:t>
      </w:r>
      <w:r>
        <w:rPr>
          <w:rFonts w:eastAsia="標楷體"/>
          <w:color w:val="262626"/>
        </w:rPr>
        <w:t>110</w:t>
      </w:r>
      <w:r>
        <w:rPr>
          <w:rFonts w:eastAsia="標楷體" w:hint="eastAsia"/>
          <w:color w:val="262626"/>
        </w:rPr>
        <w:t>年</w:t>
      </w:r>
      <w:r>
        <w:rPr>
          <w:rFonts w:eastAsia="標楷體"/>
          <w:color w:val="262626"/>
        </w:rPr>
        <w:t>6</w:t>
      </w:r>
      <w:r>
        <w:rPr>
          <w:rFonts w:eastAsia="標楷體" w:hint="eastAsia"/>
          <w:color w:val="262626"/>
        </w:rPr>
        <w:t>月平均新臺幣對美元銀行間成交之收盤匯率</w:t>
      </w:r>
      <w:r>
        <w:rPr>
          <w:rFonts w:eastAsia="標楷體"/>
          <w:color w:val="262626"/>
        </w:rPr>
        <w:t>27.797</w:t>
      </w:r>
    </w:p>
    <w:p w14:paraId="67671C56" w14:textId="77777777" w:rsidR="002C065A" w:rsidRDefault="002C065A" w:rsidP="002C065A">
      <w:pPr>
        <w:numPr>
          <w:ilvl w:val="0"/>
          <w:numId w:val="1"/>
        </w:numPr>
        <w:spacing w:before="240" w:after="120" w:line="460" w:lineRule="exact"/>
        <w:ind w:left="641" w:hanging="641"/>
        <w:jc w:val="both"/>
        <w:rPr>
          <w:rFonts w:eastAsia="標楷體"/>
          <w:b/>
          <w:color w:val="262626"/>
          <w:sz w:val="32"/>
        </w:rPr>
      </w:pPr>
      <w:r>
        <w:rPr>
          <w:rFonts w:eastAsia="標楷體" w:hint="eastAsia"/>
          <w:b/>
          <w:color w:val="262626"/>
          <w:sz w:val="32"/>
        </w:rPr>
        <w:t>本次委員會議核准及核備投資案摘要</w:t>
      </w:r>
    </w:p>
    <w:p w14:paraId="79B6F7EA" w14:textId="77777777" w:rsidR="002C065A" w:rsidRDefault="002C065A" w:rsidP="00734D75">
      <w:pPr>
        <w:pStyle w:val="a5"/>
        <w:numPr>
          <w:ilvl w:val="0"/>
          <w:numId w:val="2"/>
        </w:numPr>
        <w:spacing w:before="120" w:after="120" w:line="460" w:lineRule="exact"/>
        <w:ind w:leftChars="0" w:left="709" w:hanging="425"/>
        <w:jc w:val="both"/>
        <w:rPr>
          <w:rFonts w:eastAsia="標楷體"/>
          <w:b/>
          <w:color w:val="262626"/>
          <w:sz w:val="32"/>
        </w:rPr>
      </w:pPr>
      <w:r>
        <w:rPr>
          <w:rFonts w:eastAsia="標楷體" w:hint="eastAsia"/>
          <w:b/>
          <w:bCs/>
          <w:color w:val="262626"/>
          <w:sz w:val="32"/>
        </w:rPr>
        <w:t>僑外投資部份</w:t>
      </w:r>
    </w:p>
    <w:p w14:paraId="329544CB" w14:textId="77777777" w:rsidR="006045B6" w:rsidRPr="006045B6" w:rsidRDefault="006045B6" w:rsidP="006045B6">
      <w:pPr>
        <w:pStyle w:val="a5"/>
        <w:numPr>
          <w:ilvl w:val="0"/>
          <w:numId w:val="11"/>
        </w:numPr>
        <w:spacing w:before="120" w:after="120" w:line="480" w:lineRule="exact"/>
        <w:ind w:leftChars="0" w:left="1134" w:hanging="42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盧森堡商DIODES TAIWAN S.A R.L.以新臺幣</w:t>
      </w:r>
      <w:r>
        <w:rPr>
          <w:rFonts w:ascii="標楷體" w:eastAsia="標楷體" w:hAnsi="標楷體"/>
          <w:sz w:val="32"/>
          <w:szCs w:val="32"/>
        </w:rPr>
        <w:t>23</w:t>
      </w:r>
      <w:r>
        <w:rPr>
          <w:rFonts w:ascii="標楷體" w:eastAsia="標楷體" w:hAnsi="標楷體" w:hint="eastAsia"/>
          <w:sz w:val="32"/>
          <w:szCs w:val="32"/>
        </w:rPr>
        <w:t>億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,</w:t>
      </w:r>
      <w:r>
        <w:rPr>
          <w:rFonts w:ascii="標楷體" w:eastAsia="標楷體" w:hAnsi="標楷體"/>
          <w:sz w:val="32"/>
          <w:szCs w:val="32"/>
        </w:rPr>
        <w:t>066</w:t>
      </w:r>
      <w:r>
        <w:rPr>
          <w:rFonts w:ascii="標楷體" w:eastAsia="標楷體" w:hAnsi="標楷體" w:hint="eastAsia"/>
          <w:sz w:val="32"/>
          <w:szCs w:val="32"/>
        </w:rPr>
        <w:t>萬8</w:t>
      </w:r>
      <w:r>
        <w:rPr>
          <w:rFonts w:ascii="標楷體" w:eastAsia="標楷體" w:hAnsi="標楷體"/>
          <w:sz w:val="32"/>
          <w:szCs w:val="32"/>
        </w:rPr>
        <w:t>,000</w:t>
      </w:r>
      <w:r>
        <w:rPr>
          <w:rFonts w:ascii="標楷體" w:eastAsia="標楷體" w:hAnsi="標楷體" w:hint="eastAsia"/>
          <w:sz w:val="32"/>
          <w:szCs w:val="32"/>
        </w:rPr>
        <w:t>元認購原投資事業台灣達爾科技股份有限公司增資股份，暨對轉投資事業敦南科技股份有限公司增資</w:t>
      </w:r>
      <w:r w:rsidRPr="006045B6">
        <w:rPr>
          <w:rFonts w:ascii="標楷體" w:eastAsia="標楷體" w:hAnsi="標楷體" w:hint="eastAsia"/>
          <w:sz w:val="32"/>
          <w:szCs w:val="32"/>
        </w:rPr>
        <w:t>，從事</w:t>
      </w:r>
      <w:r>
        <w:rPr>
          <w:rFonts w:ascii="標楷體" w:eastAsia="標楷體" w:hAnsi="標楷體" w:hint="eastAsia"/>
          <w:sz w:val="32"/>
          <w:szCs w:val="32"/>
        </w:rPr>
        <w:t>電子設備、半導體設備、晶片等相關電子零組件之研發及製造。</w:t>
      </w:r>
    </w:p>
    <w:p w14:paraId="422D393C" w14:textId="77777777" w:rsidR="002C065A" w:rsidRDefault="002C065A" w:rsidP="00734D75">
      <w:pPr>
        <w:pStyle w:val="a5"/>
        <w:numPr>
          <w:ilvl w:val="0"/>
          <w:numId w:val="2"/>
        </w:numPr>
        <w:spacing w:before="120" w:after="120" w:line="460" w:lineRule="exact"/>
        <w:ind w:leftChars="0" w:left="709" w:hanging="425"/>
        <w:jc w:val="both"/>
        <w:rPr>
          <w:rFonts w:eastAsia="標楷體"/>
          <w:b/>
          <w:color w:val="262626"/>
          <w:sz w:val="32"/>
        </w:rPr>
      </w:pPr>
      <w:r>
        <w:rPr>
          <w:rFonts w:eastAsia="標楷體" w:hint="eastAsia"/>
          <w:b/>
          <w:color w:val="262626"/>
          <w:sz w:val="32"/>
          <w:szCs w:val="32"/>
        </w:rPr>
        <w:t>對外投資部分</w:t>
      </w:r>
    </w:p>
    <w:p w14:paraId="5BF97EC6" w14:textId="3EEC55EA" w:rsidR="002C065A" w:rsidRDefault="006045B6" w:rsidP="00734D75">
      <w:pPr>
        <w:pStyle w:val="a5"/>
        <w:numPr>
          <w:ilvl w:val="0"/>
          <w:numId w:val="7"/>
        </w:numPr>
        <w:spacing w:before="120" w:after="120" w:line="480" w:lineRule="exact"/>
        <w:ind w:leftChars="0" w:left="1418" w:hanging="992"/>
        <w:jc w:val="both"/>
        <w:rPr>
          <w:rFonts w:eastAsia="標楷體"/>
          <w:color w:val="262626"/>
          <w:sz w:val="32"/>
          <w:szCs w:val="32"/>
        </w:rPr>
      </w:pPr>
      <w:r>
        <w:rPr>
          <w:rFonts w:eastAsia="標楷體" w:hint="eastAsia"/>
          <w:color w:val="262626"/>
          <w:sz w:val="32"/>
          <w:szCs w:val="32"/>
        </w:rPr>
        <w:t>環球晶圓股份有限公司以美金</w:t>
      </w:r>
      <w:r>
        <w:rPr>
          <w:rFonts w:eastAsia="標楷體"/>
          <w:color w:val="262626"/>
          <w:sz w:val="32"/>
          <w:szCs w:val="32"/>
        </w:rPr>
        <w:t>2</w:t>
      </w:r>
      <w:r>
        <w:rPr>
          <w:rFonts w:eastAsia="標楷體" w:hint="eastAsia"/>
          <w:color w:val="262626"/>
          <w:sz w:val="32"/>
          <w:szCs w:val="32"/>
        </w:rPr>
        <w:t>5</w:t>
      </w:r>
      <w:r>
        <w:rPr>
          <w:rFonts w:eastAsia="標楷體" w:hint="eastAsia"/>
          <w:color w:val="262626"/>
          <w:sz w:val="32"/>
          <w:szCs w:val="32"/>
        </w:rPr>
        <w:t>億元增資</w:t>
      </w:r>
      <w:r>
        <w:rPr>
          <w:rFonts w:ascii="標楷體" w:eastAsia="標楷體" w:hAnsi="標楷體" w:hint="eastAsia"/>
          <w:sz w:val="32"/>
          <w:szCs w:val="32"/>
        </w:rPr>
        <w:t>新加坡</w:t>
      </w:r>
      <w:r>
        <w:rPr>
          <w:rFonts w:ascii="標楷體" w:eastAsia="標楷體" w:hAnsi="標楷體" w:hint="eastAsia"/>
          <w:sz w:val="32"/>
          <w:szCs w:val="32"/>
        </w:rPr>
        <w:lastRenderedPageBreak/>
        <w:t>GWAFERS SINGAPORE PTE. LTD.從事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投資控股業務</w:t>
      </w:r>
      <w:r>
        <w:rPr>
          <w:rFonts w:ascii="標楷體" w:eastAsia="標楷體" w:hAnsi="標楷體" w:hint="eastAsia"/>
          <w:sz w:val="32"/>
          <w:szCs w:val="32"/>
        </w:rPr>
        <w:t>，並經由多層次投資之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德國GL0BALWAFERS GMBH收購德國SILTRONIC AG（</w:t>
      </w:r>
      <w:r>
        <w:rPr>
          <w:rFonts w:ascii="標楷體" w:eastAsia="標楷體" w:hAnsi="標楷體" w:hint="eastAsia"/>
          <w:sz w:val="32"/>
          <w:szCs w:val="32"/>
        </w:rPr>
        <w:t>世創電子）</w:t>
      </w:r>
      <w:r>
        <w:rPr>
          <w:rFonts w:ascii="標楷體" w:eastAsia="標楷體" w:hAnsi="標楷體"/>
          <w:sz w:val="32"/>
          <w:szCs w:val="32"/>
        </w:rPr>
        <w:t>70.27%</w:t>
      </w:r>
      <w:r>
        <w:rPr>
          <w:rFonts w:ascii="標楷體" w:eastAsia="標楷體" w:hAnsi="標楷體" w:hint="eastAsia"/>
          <w:sz w:val="32"/>
          <w:szCs w:val="32"/>
        </w:rPr>
        <w:t>股權，以擴大半導體事業規模，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強化</w:t>
      </w:r>
      <w:r>
        <w:rPr>
          <w:rFonts w:ascii="標楷體" w:eastAsia="標楷體" w:hAnsi="標楷體" w:hint="eastAsia"/>
          <w:sz w:val="32"/>
          <w:szCs w:val="32"/>
        </w:rPr>
        <w:t>全球布局。</w:t>
      </w:r>
    </w:p>
    <w:p w14:paraId="0D8152D1" w14:textId="361DC676" w:rsidR="002C065A" w:rsidRDefault="006045B6" w:rsidP="00734D75">
      <w:pPr>
        <w:pStyle w:val="a5"/>
        <w:numPr>
          <w:ilvl w:val="0"/>
          <w:numId w:val="7"/>
        </w:numPr>
        <w:spacing w:before="120" w:after="120" w:line="480" w:lineRule="exact"/>
        <w:ind w:leftChars="0" w:left="1418" w:hanging="992"/>
        <w:jc w:val="both"/>
        <w:rPr>
          <w:rFonts w:eastAsia="標楷體"/>
          <w:color w:val="262626"/>
          <w:sz w:val="32"/>
          <w:szCs w:val="32"/>
        </w:rPr>
      </w:pPr>
      <w:r>
        <w:rPr>
          <w:rFonts w:eastAsia="標楷體" w:hint="eastAsia"/>
          <w:color w:val="262626"/>
          <w:sz w:val="32"/>
          <w:szCs w:val="32"/>
        </w:rPr>
        <w:t>瑞昱半導體股份有限公司以</w:t>
      </w:r>
      <w:r>
        <w:rPr>
          <w:rFonts w:ascii="標楷體" w:eastAsia="標楷體" w:hAnsi="標楷體" w:hint="eastAsia"/>
          <w:sz w:val="32"/>
          <w:szCs w:val="32"/>
        </w:rPr>
        <w:t>美金6,188萬5,080元，用以受讓英屬維京群島LEADING ENTERPRISES LIMITED所持有新加坡瑞昱新加坡私人有限公司（REALTEK SINGAPORE PRIVATE LIMITED）</w:t>
      </w:r>
      <w:r>
        <w:rPr>
          <w:rFonts w:ascii="標楷體" w:eastAsia="標楷體" w:hAnsi="標楷體"/>
          <w:sz w:val="32"/>
          <w:szCs w:val="32"/>
        </w:rPr>
        <w:t>10.97%</w:t>
      </w:r>
      <w:r>
        <w:rPr>
          <w:rFonts w:ascii="標楷體" w:eastAsia="標楷體" w:hAnsi="標楷體" w:hint="eastAsia"/>
          <w:sz w:val="32"/>
          <w:szCs w:val="32"/>
        </w:rPr>
        <w:t>股權，從事通訊網路IC之研發及銷售業務</w:t>
      </w:r>
      <w:r w:rsidR="002C065A">
        <w:rPr>
          <w:rFonts w:ascii="標楷體" w:eastAsia="標楷體" w:hAnsi="標楷體" w:hint="eastAsia"/>
          <w:sz w:val="32"/>
          <w:szCs w:val="32"/>
        </w:rPr>
        <w:t>。</w:t>
      </w:r>
    </w:p>
    <w:p w14:paraId="3552CA15" w14:textId="6BB557D3" w:rsidR="002C065A" w:rsidRPr="00B27CEC" w:rsidRDefault="002C065A" w:rsidP="00734D75">
      <w:pPr>
        <w:pStyle w:val="a5"/>
        <w:numPr>
          <w:ilvl w:val="0"/>
          <w:numId w:val="7"/>
        </w:numPr>
        <w:spacing w:before="120" w:after="120" w:line="480" w:lineRule="exact"/>
        <w:ind w:leftChars="0" w:left="1418" w:hanging="992"/>
        <w:jc w:val="both"/>
        <w:rPr>
          <w:rFonts w:eastAsia="標楷體"/>
          <w:color w:val="262626"/>
          <w:sz w:val="32"/>
          <w:szCs w:val="32"/>
        </w:rPr>
      </w:pPr>
      <w:r>
        <w:rPr>
          <w:rFonts w:eastAsia="標楷體" w:hint="eastAsia"/>
          <w:color w:val="262626"/>
          <w:sz w:val="32"/>
          <w:szCs w:val="32"/>
        </w:rPr>
        <w:t>南亞科技股份有限公司</w:t>
      </w:r>
      <w:r w:rsidR="00B27CEC">
        <w:rPr>
          <w:rFonts w:eastAsia="標楷體" w:hint="eastAsia"/>
          <w:color w:val="262626"/>
          <w:sz w:val="32"/>
          <w:szCs w:val="32"/>
        </w:rPr>
        <w:t>以</w:t>
      </w:r>
      <w:r w:rsidR="00B27CEC" w:rsidRPr="00795B91">
        <w:rPr>
          <w:rFonts w:ascii="標楷體" w:eastAsia="標楷體" w:hAnsi="標楷體" w:hint="eastAsia"/>
          <w:sz w:val="32"/>
          <w:szCs w:val="32"/>
        </w:rPr>
        <w:t>美金4億元，增資英屬維京群島南亞科技國際有限公司</w:t>
      </w:r>
      <w:r w:rsidR="00B27CEC">
        <w:rPr>
          <w:rFonts w:ascii="標楷體" w:eastAsia="標楷體" w:hAnsi="標楷體" w:hint="eastAsia"/>
          <w:sz w:val="32"/>
          <w:szCs w:val="32"/>
        </w:rPr>
        <w:t>（</w:t>
      </w:r>
      <w:r w:rsidR="00B27CEC" w:rsidRPr="00795B91">
        <w:rPr>
          <w:rFonts w:ascii="標楷體" w:eastAsia="標楷體" w:hAnsi="標楷體" w:hint="eastAsia"/>
          <w:sz w:val="32"/>
          <w:szCs w:val="32"/>
        </w:rPr>
        <w:t>NANYA</w:t>
      </w:r>
      <w:r w:rsidR="00B27CEC" w:rsidRPr="00795B91">
        <w:rPr>
          <w:rFonts w:ascii="標楷體" w:eastAsia="標楷體" w:hAnsi="標楷體"/>
          <w:sz w:val="32"/>
          <w:szCs w:val="32"/>
        </w:rPr>
        <w:t xml:space="preserve"> </w:t>
      </w:r>
      <w:r w:rsidR="00B27CEC" w:rsidRPr="00795B91">
        <w:rPr>
          <w:rFonts w:ascii="標楷體" w:eastAsia="標楷體" w:hAnsi="標楷體" w:hint="eastAsia"/>
          <w:sz w:val="32"/>
          <w:szCs w:val="32"/>
        </w:rPr>
        <w:t>TECHNOLOGY</w:t>
      </w:r>
      <w:r w:rsidR="00B27CEC" w:rsidRPr="00795B91">
        <w:rPr>
          <w:rFonts w:ascii="標楷體" w:eastAsia="標楷體" w:hAnsi="標楷體"/>
          <w:sz w:val="32"/>
          <w:szCs w:val="32"/>
        </w:rPr>
        <w:t xml:space="preserve"> </w:t>
      </w:r>
      <w:r w:rsidR="00B27CEC" w:rsidRPr="00795B91">
        <w:rPr>
          <w:rFonts w:ascii="標楷體" w:eastAsia="標楷體" w:hAnsi="標楷體" w:hint="eastAsia"/>
          <w:sz w:val="32"/>
          <w:szCs w:val="32"/>
        </w:rPr>
        <w:t>INTERNATIONAL</w:t>
      </w:r>
      <w:r w:rsidR="00B27CEC" w:rsidRPr="00795B91">
        <w:rPr>
          <w:rFonts w:ascii="標楷體" w:eastAsia="標楷體" w:hAnsi="標楷體"/>
          <w:sz w:val="32"/>
          <w:szCs w:val="32"/>
        </w:rPr>
        <w:t xml:space="preserve"> LTD</w:t>
      </w:r>
      <w:r w:rsidR="00B27CEC" w:rsidRPr="00795B91">
        <w:rPr>
          <w:rFonts w:ascii="標楷體" w:eastAsia="標楷體" w:hAnsi="標楷體" w:hint="eastAsia"/>
          <w:sz w:val="32"/>
          <w:szCs w:val="32"/>
        </w:rPr>
        <w:t>.</w:t>
      </w:r>
      <w:r w:rsidR="00B27CEC">
        <w:rPr>
          <w:rFonts w:ascii="標楷體" w:eastAsia="標楷體" w:hAnsi="標楷體" w:hint="eastAsia"/>
          <w:sz w:val="32"/>
          <w:szCs w:val="32"/>
        </w:rPr>
        <w:t>）</w:t>
      </w:r>
      <w:r w:rsidR="00B27CEC" w:rsidRPr="00795B91">
        <w:rPr>
          <w:rFonts w:ascii="標楷體" w:eastAsia="標楷體" w:hAnsi="標楷體" w:hint="eastAsia"/>
          <w:sz w:val="32"/>
          <w:szCs w:val="32"/>
        </w:rPr>
        <w:t>，從事一般投資業務</w:t>
      </w:r>
      <w:r w:rsidR="00B27CEC">
        <w:rPr>
          <w:rFonts w:ascii="標楷體" w:eastAsia="標楷體" w:hAnsi="標楷體" w:hint="eastAsia"/>
          <w:sz w:val="32"/>
          <w:szCs w:val="32"/>
        </w:rPr>
        <w:t>。</w:t>
      </w:r>
    </w:p>
    <w:p w14:paraId="441F5D46" w14:textId="77777777" w:rsidR="002C065A" w:rsidRDefault="002C065A" w:rsidP="00734D75">
      <w:pPr>
        <w:pStyle w:val="a5"/>
        <w:numPr>
          <w:ilvl w:val="0"/>
          <w:numId w:val="2"/>
        </w:numPr>
        <w:spacing w:before="120" w:after="120" w:line="460" w:lineRule="exact"/>
        <w:ind w:leftChars="0" w:left="709" w:hanging="425"/>
        <w:jc w:val="both"/>
        <w:rPr>
          <w:rFonts w:eastAsia="標楷體"/>
          <w:color w:val="262626"/>
          <w:sz w:val="32"/>
          <w:szCs w:val="32"/>
        </w:rPr>
      </w:pPr>
      <w:r>
        <w:rPr>
          <w:rFonts w:eastAsia="標楷體" w:hint="eastAsia"/>
          <w:b/>
          <w:color w:val="262626"/>
          <w:sz w:val="32"/>
          <w:szCs w:val="32"/>
        </w:rPr>
        <w:t>對中國大陸投資（專案審查案件）部分</w:t>
      </w:r>
    </w:p>
    <w:p w14:paraId="6E8E8237" w14:textId="77777777" w:rsidR="0058410F" w:rsidRDefault="0058410F" w:rsidP="00734D75">
      <w:pPr>
        <w:pStyle w:val="a5"/>
        <w:numPr>
          <w:ilvl w:val="0"/>
          <w:numId w:val="8"/>
        </w:numPr>
        <w:spacing w:before="120" w:after="120" w:line="480" w:lineRule="exact"/>
        <w:ind w:leftChars="0" w:left="1418" w:hanging="992"/>
        <w:jc w:val="both"/>
        <w:rPr>
          <w:rFonts w:ascii="標楷體" w:eastAsia="標楷體" w:hAnsi="標楷體"/>
          <w:sz w:val="32"/>
          <w:szCs w:val="32"/>
        </w:rPr>
      </w:pPr>
      <w:r w:rsidRPr="00C76A68">
        <w:rPr>
          <w:rFonts w:ascii="標楷體" w:eastAsia="標楷體" w:hAnsi="標楷體" w:hint="eastAsia"/>
          <w:sz w:val="32"/>
          <w:szCs w:val="32"/>
          <w:lang w:eastAsia="zh-HK"/>
        </w:rPr>
        <w:t>台郡科技</w:t>
      </w:r>
      <w:r w:rsidRPr="00C76A68">
        <w:rPr>
          <w:rFonts w:ascii="標楷體" w:eastAsia="標楷體" w:hAnsi="標楷體" w:hint="eastAsia"/>
          <w:sz w:val="32"/>
          <w:szCs w:val="32"/>
        </w:rPr>
        <w:t>股份有限公司</w:t>
      </w:r>
      <w:r>
        <w:rPr>
          <w:rFonts w:ascii="標楷體" w:eastAsia="標楷體" w:hAnsi="標楷體" w:hint="eastAsia"/>
          <w:sz w:val="32"/>
          <w:szCs w:val="32"/>
        </w:rPr>
        <w:t>以美金</w:t>
      </w:r>
      <w:r w:rsidRPr="00C76A68">
        <w:rPr>
          <w:rFonts w:ascii="標楷體" w:eastAsia="標楷體" w:hAnsi="標楷體" w:hint="eastAsia"/>
          <w:sz w:val="32"/>
          <w:szCs w:val="32"/>
          <w:lang w:eastAsia="zh-HK"/>
        </w:rPr>
        <w:t>2,500萬元</w:t>
      </w:r>
      <w:r w:rsidRPr="00C76A68">
        <w:rPr>
          <w:rFonts w:ascii="標楷體" w:eastAsia="標楷體" w:hAnsi="標楷體" w:hint="eastAsia"/>
          <w:sz w:val="32"/>
          <w:szCs w:val="32"/>
        </w:rPr>
        <w:t>間接增資大陸地區</w:t>
      </w:r>
      <w:r w:rsidRPr="00C76A68">
        <w:rPr>
          <w:rFonts w:ascii="標楷體" w:eastAsia="標楷體" w:hAnsi="標楷體" w:hint="eastAsia"/>
          <w:sz w:val="32"/>
          <w:szCs w:val="32"/>
          <w:lang w:eastAsia="zh-HK"/>
        </w:rPr>
        <w:t>投資事業郡昆科技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C76A68">
        <w:rPr>
          <w:rFonts w:ascii="標楷體" w:eastAsia="標楷體" w:hAnsi="標楷體" w:hint="eastAsia"/>
          <w:sz w:val="32"/>
          <w:szCs w:val="32"/>
          <w:lang w:eastAsia="zh-HK"/>
        </w:rPr>
        <w:t>蘇州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）</w:t>
      </w:r>
      <w:r>
        <w:rPr>
          <w:rFonts w:ascii="標楷體" w:eastAsia="標楷體" w:hAnsi="標楷體" w:hint="eastAsia"/>
          <w:sz w:val="32"/>
          <w:szCs w:val="32"/>
        </w:rPr>
        <w:t>有限公司，</w:t>
      </w:r>
      <w:r w:rsidRPr="00C76A68">
        <w:rPr>
          <w:rFonts w:ascii="標楷體" w:eastAsia="標楷體" w:hAnsi="標楷體" w:hint="eastAsia"/>
          <w:sz w:val="32"/>
          <w:szCs w:val="32"/>
          <w:lang w:eastAsia="zh-HK"/>
        </w:rPr>
        <w:t>從事經營軟式印刷電路板之產銷業務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6C265797" w14:textId="77777777" w:rsidR="0058410F" w:rsidRDefault="0058410F" w:rsidP="00734D75">
      <w:pPr>
        <w:pStyle w:val="a5"/>
        <w:numPr>
          <w:ilvl w:val="0"/>
          <w:numId w:val="8"/>
        </w:numPr>
        <w:spacing w:before="120" w:after="120" w:line="480" w:lineRule="exact"/>
        <w:ind w:leftChars="0" w:left="1418" w:hanging="992"/>
        <w:jc w:val="both"/>
        <w:rPr>
          <w:rFonts w:ascii="標楷體" w:eastAsia="標楷體" w:hAnsi="標楷體"/>
          <w:sz w:val="32"/>
          <w:szCs w:val="32"/>
        </w:rPr>
      </w:pPr>
      <w:r w:rsidRPr="0058410F">
        <w:rPr>
          <w:rFonts w:ascii="標楷體" w:eastAsia="標楷體" w:hAnsi="標楷體" w:hint="eastAsia"/>
          <w:sz w:val="32"/>
          <w:szCs w:val="32"/>
        </w:rPr>
        <w:t>長興材料工業股份有限公司</w:t>
      </w:r>
      <w:r>
        <w:rPr>
          <w:rFonts w:ascii="標楷體" w:eastAsia="標楷體" w:hAnsi="標楷體" w:hint="eastAsia"/>
          <w:sz w:val="32"/>
          <w:szCs w:val="32"/>
        </w:rPr>
        <w:t>以美金</w:t>
      </w:r>
      <w:r w:rsidR="001A3A79">
        <w:rPr>
          <w:rFonts w:ascii="標楷體" w:eastAsia="標楷體" w:hAnsi="標楷體" w:hint="eastAsia"/>
          <w:sz w:val="32"/>
          <w:szCs w:val="32"/>
        </w:rPr>
        <w:t>5,418</w:t>
      </w:r>
      <w:r w:rsidRPr="00BD1E71">
        <w:rPr>
          <w:rFonts w:ascii="標楷體" w:eastAsia="標楷體" w:hAnsi="標楷體" w:hint="eastAsia"/>
          <w:sz w:val="32"/>
          <w:szCs w:val="32"/>
        </w:rPr>
        <w:t>萬元，間接經由大陸地區投資事業長興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BD1E71">
        <w:rPr>
          <w:rFonts w:ascii="標楷體" w:eastAsia="標楷體" w:hAnsi="標楷體" w:hint="eastAsia"/>
          <w:sz w:val="32"/>
          <w:szCs w:val="32"/>
        </w:rPr>
        <w:t>中國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BD1E71">
        <w:rPr>
          <w:rFonts w:ascii="標楷體" w:eastAsia="標楷體" w:hAnsi="標楷體" w:hint="eastAsia"/>
          <w:sz w:val="32"/>
          <w:szCs w:val="32"/>
        </w:rPr>
        <w:t>投資有限公司轉投資設立長興材料工業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BD1E71">
        <w:rPr>
          <w:rFonts w:ascii="標楷體" w:eastAsia="標楷體" w:hAnsi="標楷體" w:hint="eastAsia"/>
          <w:sz w:val="32"/>
          <w:szCs w:val="32"/>
        </w:rPr>
        <w:t>銅陵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BD1E71">
        <w:rPr>
          <w:rFonts w:ascii="標楷體" w:eastAsia="標楷體" w:hAnsi="標楷體" w:hint="eastAsia"/>
          <w:sz w:val="32"/>
          <w:szCs w:val="32"/>
        </w:rPr>
        <w:t>有限公司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BD1E71">
        <w:rPr>
          <w:rFonts w:ascii="標楷體" w:eastAsia="標楷體" w:hAnsi="標楷體" w:hint="eastAsia"/>
          <w:sz w:val="32"/>
          <w:szCs w:val="32"/>
        </w:rPr>
        <w:t>從事經營水性丙烯酸樹脂、水性聚氨酯樹脂、醇酸樹脂/水性醇酸樹脂、氟碳樹脂、油性丙烯酸樹脂、不飽和聚酯樹脂等產銷業務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15FB2415" w14:textId="70D35886" w:rsidR="0058410F" w:rsidRDefault="0058410F" w:rsidP="00734D75">
      <w:pPr>
        <w:pStyle w:val="a5"/>
        <w:numPr>
          <w:ilvl w:val="0"/>
          <w:numId w:val="8"/>
        </w:numPr>
        <w:spacing w:before="120" w:after="120" w:line="480" w:lineRule="exact"/>
        <w:ind w:leftChars="0" w:left="1418" w:hanging="992"/>
        <w:jc w:val="both"/>
        <w:rPr>
          <w:rFonts w:ascii="標楷體" w:eastAsia="標楷體" w:hAnsi="標楷體"/>
          <w:sz w:val="32"/>
          <w:szCs w:val="32"/>
        </w:rPr>
      </w:pPr>
      <w:r w:rsidRPr="009D1A1E">
        <w:rPr>
          <w:rFonts w:ascii="標楷體" w:eastAsia="標楷體" w:hAnsi="標楷體" w:hint="eastAsia"/>
          <w:sz w:val="32"/>
          <w:szCs w:val="32"/>
        </w:rPr>
        <w:t>台灣人壽保險股份有限公司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Pr="009D1A1E">
        <w:rPr>
          <w:rFonts w:ascii="標楷體" w:eastAsia="標楷體" w:hAnsi="標楷體"/>
          <w:sz w:val="32"/>
          <w:szCs w:val="32"/>
        </w:rPr>
        <w:t>人</w:t>
      </w:r>
      <w:r w:rsidR="0012764D" w:rsidRPr="00BD1E71">
        <w:rPr>
          <w:rFonts w:ascii="標楷體" w:eastAsia="標楷體" w:hAnsi="標楷體" w:hint="eastAsia"/>
          <w:sz w:val="32"/>
          <w:szCs w:val="32"/>
        </w:rPr>
        <w:t>美金</w:t>
      </w:r>
      <w:r w:rsidR="0012764D">
        <w:rPr>
          <w:rFonts w:ascii="標楷體" w:eastAsia="標楷體" w:hAnsi="標楷體" w:hint="eastAsia"/>
          <w:sz w:val="32"/>
          <w:szCs w:val="32"/>
        </w:rPr>
        <w:t>5,</w:t>
      </w:r>
      <w:r w:rsidR="001A3A79">
        <w:rPr>
          <w:rFonts w:ascii="標楷體" w:eastAsia="標楷體" w:hAnsi="標楷體" w:hint="eastAsia"/>
          <w:sz w:val="32"/>
          <w:szCs w:val="32"/>
        </w:rPr>
        <w:t>303</w:t>
      </w:r>
      <w:r w:rsidR="0012764D" w:rsidRPr="00BD1E71">
        <w:rPr>
          <w:rFonts w:ascii="標楷體" w:eastAsia="標楷體" w:hAnsi="標楷體" w:hint="eastAsia"/>
          <w:sz w:val="32"/>
          <w:szCs w:val="32"/>
        </w:rPr>
        <w:t>萬元</w:t>
      </w:r>
      <w:r w:rsidRPr="009D1A1E">
        <w:rPr>
          <w:rFonts w:ascii="標楷體" w:eastAsia="標楷體" w:hAnsi="標楷體" w:hint="eastAsia"/>
          <w:sz w:val="32"/>
          <w:szCs w:val="32"/>
        </w:rPr>
        <w:t>增資大陸地區投資事業君龍人壽保險有限公司</w:t>
      </w:r>
      <w:r w:rsidR="0012764D">
        <w:rPr>
          <w:rFonts w:ascii="標楷體" w:eastAsia="標楷體" w:hAnsi="標楷體" w:hint="eastAsia"/>
          <w:sz w:val="32"/>
          <w:szCs w:val="32"/>
        </w:rPr>
        <w:t>，</w:t>
      </w:r>
      <w:r w:rsidR="0012764D" w:rsidRPr="009D1A1E">
        <w:rPr>
          <w:rFonts w:ascii="標楷體" w:eastAsia="標楷體" w:hAnsi="標楷體" w:hint="eastAsia"/>
          <w:sz w:val="32"/>
          <w:szCs w:val="32"/>
        </w:rPr>
        <w:t>從事</w:t>
      </w:r>
      <w:r w:rsidR="0012764D" w:rsidRPr="009D1A1E">
        <w:rPr>
          <w:rFonts w:ascii="標楷體" w:eastAsia="標楷體" w:hAnsi="標楷體" w:hint="eastAsia"/>
          <w:sz w:val="32"/>
          <w:szCs w:val="32"/>
        </w:rPr>
        <w:lastRenderedPageBreak/>
        <w:t>經營人身保險相關業務。</w:t>
      </w:r>
    </w:p>
    <w:p w14:paraId="76F80948" w14:textId="260193FF" w:rsidR="006045B6" w:rsidRPr="006045B6" w:rsidRDefault="006045B6" w:rsidP="006045B6">
      <w:pPr>
        <w:pStyle w:val="a5"/>
        <w:numPr>
          <w:ilvl w:val="0"/>
          <w:numId w:val="8"/>
        </w:numPr>
        <w:spacing w:before="120" w:after="120" w:line="480" w:lineRule="exact"/>
        <w:ind w:leftChars="0" w:left="1418" w:hanging="992"/>
        <w:jc w:val="both"/>
        <w:rPr>
          <w:rFonts w:ascii="標楷體" w:eastAsia="標楷體" w:hAnsi="標楷體" w:hint="eastAsia"/>
          <w:sz w:val="32"/>
          <w:szCs w:val="32"/>
        </w:rPr>
      </w:pPr>
      <w:r w:rsidRPr="00B27CEC">
        <w:rPr>
          <w:rFonts w:ascii="標楷體" w:eastAsia="標楷體" w:hAnsi="標楷體" w:hint="eastAsia"/>
          <w:sz w:val="32"/>
          <w:szCs w:val="32"/>
        </w:rPr>
        <w:t>台灣積體電路製造股份有限公司</w:t>
      </w:r>
      <w:r>
        <w:rPr>
          <w:rFonts w:ascii="標楷體" w:eastAsia="標楷體" w:hAnsi="標楷體" w:hint="eastAsia"/>
          <w:sz w:val="32"/>
          <w:szCs w:val="32"/>
        </w:rPr>
        <w:t>為緩解全球晶片短缺並確保競爭優勢，提出在大陸地區投資之台積電（南京）有限公司擴產計畫一案</w:t>
      </w:r>
      <w:r w:rsidRPr="006309B2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本會前於</w:t>
      </w:r>
      <w:r>
        <w:rPr>
          <w:rFonts w:ascii="標楷體" w:eastAsia="標楷體" w:hAnsi="標楷體"/>
          <w:sz w:val="32"/>
          <w:szCs w:val="32"/>
        </w:rPr>
        <w:t>105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日核准該公司以累計美金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億元作為股本投資設立台積電（南京）有限公司，設置一座</w:t>
      </w:r>
      <w:r>
        <w:rPr>
          <w:rFonts w:ascii="標楷體" w:eastAsia="標楷體" w:hAnsi="標楷體"/>
          <w:sz w:val="32"/>
          <w:szCs w:val="32"/>
        </w:rPr>
        <w:t>16</w:t>
      </w:r>
      <w:r>
        <w:rPr>
          <w:rFonts w:ascii="標楷體" w:eastAsia="標楷體" w:hAnsi="標楷體" w:hint="eastAsia"/>
          <w:sz w:val="32"/>
          <w:szCs w:val="32"/>
        </w:rPr>
        <w:t>奈米製程之</w:t>
      </w:r>
      <w:r>
        <w:rPr>
          <w:rFonts w:ascii="標楷體" w:eastAsia="標楷體" w:hAnsi="標楷體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吋晶圓廠。本次擴產計畫考量並未涉及增加股本投資，且係運用既有廠房進行產能擴充，南京廠原經關鍵技術小組審查通過之製程技術為</w:t>
      </w:r>
      <w:r>
        <w:rPr>
          <w:rFonts w:ascii="標楷體" w:eastAsia="標楷體" w:hAnsi="標楷體"/>
          <w:sz w:val="32"/>
          <w:szCs w:val="32"/>
        </w:rPr>
        <w:t>16</w:t>
      </w:r>
      <w:r>
        <w:rPr>
          <w:rFonts w:ascii="標楷體" w:eastAsia="標楷體" w:hAnsi="標楷體" w:hint="eastAsia"/>
          <w:sz w:val="32"/>
          <w:szCs w:val="32"/>
        </w:rPr>
        <w:t>奈米，本次擴廠係採用成熟之</w:t>
      </w:r>
      <w:r>
        <w:rPr>
          <w:rFonts w:ascii="標楷體" w:eastAsia="標楷體" w:hAnsi="標楷體"/>
          <w:sz w:val="32"/>
          <w:szCs w:val="32"/>
        </w:rPr>
        <w:t>28</w:t>
      </w:r>
      <w:r>
        <w:rPr>
          <w:rFonts w:ascii="標楷體" w:eastAsia="標楷體" w:hAnsi="標楷體" w:hint="eastAsia"/>
          <w:sz w:val="32"/>
          <w:szCs w:val="32"/>
        </w:rPr>
        <w:t>奈米製程；同時，該公司已提出強化實體廠區及資訊存取等智慧財產權保護措施，以及未來三年每年於國內投資約新台幣</w:t>
      </w:r>
      <w:r>
        <w:rPr>
          <w:rFonts w:ascii="標楷體" w:eastAsia="標楷體" w:hAnsi="標楷體"/>
          <w:sz w:val="32"/>
          <w:szCs w:val="32"/>
        </w:rPr>
        <w:t>6,000</w:t>
      </w:r>
      <w:r>
        <w:rPr>
          <w:rFonts w:ascii="標楷體" w:eastAsia="標楷體" w:hAnsi="標楷體" w:hint="eastAsia"/>
          <w:sz w:val="32"/>
          <w:szCs w:val="32"/>
        </w:rPr>
        <w:t>億至</w:t>
      </w:r>
      <w:r>
        <w:rPr>
          <w:rFonts w:ascii="標楷體" w:eastAsia="標楷體" w:hAnsi="標楷體"/>
          <w:sz w:val="32"/>
          <w:szCs w:val="32"/>
        </w:rPr>
        <w:t>6,500</w:t>
      </w:r>
      <w:r>
        <w:rPr>
          <w:rFonts w:ascii="標楷體" w:eastAsia="標楷體" w:hAnsi="標楷體" w:hint="eastAsia"/>
          <w:sz w:val="32"/>
          <w:szCs w:val="32"/>
        </w:rPr>
        <w:t>億元持續以台灣為最主要據點、持續在台灣創造優質工作機會之投資計畫，經委員會議討論後，同意台積電南京廠擴產案之投資計畫變更。</w:t>
      </w:r>
    </w:p>
    <w:p w14:paraId="5EA40694" w14:textId="77777777" w:rsidR="002C065A" w:rsidRDefault="002C065A" w:rsidP="002C065A">
      <w:pPr>
        <w:spacing w:line="400" w:lineRule="exact"/>
        <w:rPr>
          <w:rFonts w:eastAsia="標楷體"/>
          <w:color w:val="262626"/>
          <w:sz w:val="32"/>
          <w:szCs w:val="32"/>
        </w:rPr>
      </w:pPr>
    </w:p>
    <w:p w14:paraId="559D4A82" w14:textId="77777777" w:rsidR="00EC5B10" w:rsidRPr="00892247" w:rsidRDefault="00EC5B10" w:rsidP="00EC5B10">
      <w:pPr>
        <w:pStyle w:val="a5"/>
        <w:spacing w:before="120" w:after="120" w:line="460" w:lineRule="exact"/>
        <w:ind w:leftChars="0" w:left="142"/>
        <w:rPr>
          <w:rFonts w:ascii="標楷體" w:eastAsia="標楷體" w:hAnsi="標楷體"/>
          <w:sz w:val="28"/>
        </w:rPr>
      </w:pPr>
      <w:r w:rsidRPr="00892247">
        <w:rPr>
          <w:rFonts w:ascii="標楷體" w:eastAsia="標楷體" w:hAnsi="標楷體" w:hint="eastAsia"/>
          <w:sz w:val="28"/>
        </w:rPr>
        <w:t>投審會發言人: 呂貞慧副執行秘書</w:t>
      </w:r>
    </w:p>
    <w:p w14:paraId="0E4048E7" w14:textId="77777777" w:rsidR="00EC5B10" w:rsidRPr="00892247" w:rsidRDefault="00EC5B10" w:rsidP="00EC5B10">
      <w:pPr>
        <w:pStyle w:val="a5"/>
        <w:spacing w:before="120" w:after="120" w:line="460" w:lineRule="exact"/>
        <w:ind w:leftChars="0" w:left="142"/>
        <w:rPr>
          <w:rFonts w:ascii="標楷體" w:eastAsia="標楷體" w:hAnsi="標楷體"/>
          <w:sz w:val="28"/>
        </w:rPr>
      </w:pPr>
      <w:r w:rsidRPr="00892247">
        <w:rPr>
          <w:rFonts w:ascii="標楷體" w:eastAsia="標楷體" w:hAnsi="標楷體" w:hint="eastAsia"/>
          <w:sz w:val="28"/>
        </w:rPr>
        <w:t xml:space="preserve">辦公室電話：（02）3343-5706 </w:t>
      </w:r>
    </w:p>
    <w:p w14:paraId="53397A11" w14:textId="77777777" w:rsidR="00EC5B10" w:rsidRPr="00892247" w:rsidRDefault="00EC5B10" w:rsidP="00EC5B10">
      <w:pPr>
        <w:pStyle w:val="a5"/>
        <w:spacing w:before="120" w:after="120" w:line="460" w:lineRule="exact"/>
        <w:ind w:leftChars="0" w:left="142"/>
        <w:rPr>
          <w:rFonts w:ascii="標楷體" w:eastAsia="標楷體" w:hAnsi="標楷體"/>
          <w:sz w:val="28"/>
        </w:rPr>
      </w:pPr>
      <w:r w:rsidRPr="00892247">
        <w:rPr>
          <w:rFonts w:ascii="標楷體" w:eastAsia="標楷體" w:hAnsi="標楷體" w:hint="eastAsia"/>
          <w:sz w:val="28"/>
        </w:rPr>
        <w:t xml:space="preserve">行動電話：0921-926423 </w:t>
      </w:r>
    </w:p>
    <w:p w14:paraId="5F0CC833" w14:textId="77777777" w:rsidR="00EC5B10" w:rsidRPr="000D72B5" w:rsidRDefault="00EC5B10" w:rsidP="00EC5B10">
      <w:pPr>
        <w:pStyle w:val="a5"/>
        <w:spacing w:before="120" w:after="120" w:line="460" w:lineRule="exact"/>
        <w:ind w:leftChars="0" w:left="142"/>
        <w:rPr>
          <w:rFonts w:ascii="標楷體" w:eastAsia="標楷體" w:hAnsi="標楷體"/>
          <w:sz w:val="28"/>
        </w:rPr>
      </w:pPr>
      <w:r w:rsidRPr="00892247">
        <w:rPr>
          <w:rFonts w:ascii="標楷體" w:eastAsia="標楷體" w:hAnsi="標楷體" w:hint="eastAsia"/>
          <w:sz w:val="28"/>
        </w:rPr>
        <w:t>電子信箱：rio@moea.gov.tw</w:t>
      </w:r>
    </w:p>
    <w:p w14:paraId="08692732" w14:textId="77777777" w:rsidR="000A0B13" w:rsidRPr="00EC5B10" w:rsidRDefault="000A0B13"/>
    <w:sectPr w:rsidR="000A0B13" w:rsidRPr="00EC5B10" w:rsidSect="000A0B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6191" w14:textId="77777777" w:rsidR="00BE3E8A" w:rsidRDefault="00BE3E8A" w:rsidP="00D950DB">
      <w:r>
        <w:separator/>
      </w:r>
    </w:p>
  </w:endnote>
  <w:endnote w:type="continuationSeparator" w:id="0">
    <w:p w14:paraId="768FAC0A" w14:textId="77777777" w:rsidR="00BE3E8A" w:rsidRDefault="00BE3E8A" w:rsidP="00D9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0BBA" w14:textId="77777777" w:rsidR="00BE3E8A" w:rsidRDefault="00BE3E8A" w:rsidP="00D950DB">
      <w:r>
        <w:separator/>
      </w:r>
    </w:p>
  </w:footnote>
  <w:footnote w:type="continuationSeparator" w:id="0">
    <w:p w14:paraId="699CAC78" w14:textId="77777777" w:rsidR="00BE3E8A" w:rsidRDefault="00BE3E8A" w:rsidP="00D9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D56"/>
    <w:multiLevelType w:val="hybridMultilevel"/>
    <w:tmpl w:val="EBCA2258"/>
    <w:lvl w:ilvl="0" w:tplc="17080D0A">
      <w:start w:val="1"/>
      <w:numFmt w:val="taiwaneseCountingThousand"/>
      <w:lvlText w:val="%1、"/>
      <w:lvlJc w:val="left"/>
      <w:pPr>
        <w:ind w:left="1473" w:hanging="48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56CB3"/>
    <w:multiLevelType w:val="hybridMultilevel"/>
    <w:tmpl w:val="80C6CC1E"/>
    <w:lvl w:ilvl="0" w:tplc="3C842760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color w:val="000000"/>
        <w:sz w:val="32"/>
        <w:szCs w:val="32"/>
        <w:lang w:val="en-US"/>
      </w:rPr>
    </w:lvl>
    <w:lvl w:ilvl="1" w:tplc="A2D2F6F4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b/>
        <w:color w:val="000000"/>
        <w:sz w:val="32"/>
        <w:szCs w:val="32"/>
        <w:lang w:val="en-US"/>
      </w:rPr>
    </w:lvl>
    <w:lvl w:ilvl="2" w:tplc="98EE8448">
      <w:start w:val="1"/>
      <w:numFmt w:val="decimal"/>
      <w:lvlText w:val="%3."/>
      <w:lvlJc w:val="left"/>
      <w:pPr>
        <w:tabs>
          <w:tab w:val="num" w:pos="1756"/>
        </w:tabs>
        <w:ind w:left="1756" w:hanging="480"/>
      </w:pPr>
      <w:rPr>
        <w:rFonts w:ascii="Arial" w:hAnsi="Arial" w:cs="Arial" w:hint="default"/>
        <w:b w:val="0"/>
        <w:color w:val="000000"/>
        <w:sz w:val="32"/>
        <w:szCs w:val="32"/>
      </w:rPr>
    </w:lvl>
    <w:lvl w:ilvl="3" w:tplc="FFFFFFF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A5E85D8C">
      <w:start w:val="1"/>
      <w:numFmt w:val="taiwaneseCountingThousand"/>
      <w:lvlText w:val="（%5）"/>
      <w:lvlJc w:val="left"/>
      <w:pPr>
        <w:tabs>
          <w:tab w:val="num" w:pos="3142"/>
        </w:tabs>
        <w:ind w:left="3142" w:hanging="108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3613BF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1472" w:hanging="48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C2654"/>
    <w:multiLevelType w:val="hybridMultilevel"/>
    <w:tmpl w:val="3F9EE106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43D89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1614" w:hanging="48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22D40"/>
    <w:multiLevelType w:val="hybridMultilevel"/>
    <w:tmpl w:val="4C141170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142925"/>
    <w:multiLevelType w:val="hybridMultilevel"/>
    <w:tmpl w:val="6C9286C2"/>
    <w:lvl w:ilvl="0" w:tplc="6BCE3A00">
      <w:start w:val="1"/>
      <w:numFmt w:val="taiwaneseCountingThousand"/>
      <w:suff w:val="nothing"/>
      <w:lvlText w:val="（%1）"/>
      <w:lvlJc w:val="left"/>
      <w:pPr>
        <w:ind w:left="1898" w:hanging="48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323815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1472" w:hanging="48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5F71A6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1472" w:hanging="48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65A"/>
    <w:rsid w:val="000A0B13"/>
    <w:rsid w:val="0012764D"/>
    <w:rsid w:val="001A3A79"/>
    <w:rsid w:val="00231328"/>
    <w:rsid w:val="002C065A"/>
    <w:rsid w:val="004A7016"/>
    <w:rsid w:val="005657DC"/>
    <w:rsid w:val="00576C0B"/>
    <w:rsid w:val="0058410F"/>
    <w:rsid w:val="006045B6"/>
    <w:rsid w:val="0067556F"/>
    <w:rsid w:val="00734D75"/>
    <w:rsid w:val="00B27CEC"/>
    <w:rsid w:val="00B77A9F"/>
    <w:rsid w:val="00BE3E8A"/>
    <w:rsid w:val="00C52C23"/>
    <w:rsid w:val="00CA1757"/>
    <w:rsid w:val="00D40E25"/>
    <w:rsid w:val="00D950DB"/>
    <w:rsid w:val="00DE5C4B"/>
    <w:rsid w:val="00E14486"/>
    <w:rsid w:val="00EA1467"/>
    <w:rsid w:val="00EC5B10"/>
    <w:rsid w:val="00E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E8B35"/>
  <w15:docId w15:val="{9C38EFF3-E0F7-6C46-9020-A5ED1DF7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6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2C065A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semiHidden/>
    <w:rsid w:val="002C065A"/>
    <w:rPr>
      <w:rFonts w:ascii="標楷體" w:eastAsia="標楷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2C065A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D9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950D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9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950D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CD32-FBE3-4040-8311-2F1EA44A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17</cp:revision>
  <cp:lastPrinted>2021-07-26T10:05:00Z</cp:lastPrinted>
  <dcterms:created xsi:type="dcterms:W3CDTF">2021-07-26T09:32:00Z</dcterms:created>
  <dcterms:modified xsi:type="dcterms:W3CDTF">2021-07-27T03:59:00Z</dcterms:modified>
</cp:coreProperties>
</file>