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2026" w14:textId="77777777" w:rsidR="00F56791" w:rsidRPr="00FC61BC" w:rsidRDefault="00F56791" w:rsidP="00F56791">
      <w:pPr>
        <w:spacing w:line="560" w:lineRule="exact"/>
        <w:jc w:val="center"/>
        <w:rPr>
          <w:rFonts w:asciiTheme="majorHAnsi" w:eastAsia="標楷體" w:hAnsiTheme="majorHAnsi"/>
          <w:b/>
          <w:color w:val="262626"/>
          <w:sz w:val="36"/>
        </w:rPr>
      </w:pPr>
      <w:r w:rsidRPr="00FC61BC">
        <w:rPr>
          <w:rFonts w:asciiTheme="majorHAnsi" w:eastAsia="標楷體"/>
          <w:b/>
          <w:color w:val="262626"/>
          <w:sz w:val="36"/>
        </w:rPr>
        <w:t>新聞稿</w:t>
      </w:r>
    </w:p>
    <w:p w14:paraId="2CA726B3" w14:textId="77777777" w:rsidR="00F56791" w:rsidRPr="00FC61BC" w:rsidRDefault="00F56791" w:rsidP="00F56791">
      <w:pPr>
        <w:pStyle w:val="a3"/>
        <w:rPr>
          <w:rFonts w:asciiTheme="majorHAnsi" w:hAnsiTheme="majorHAnsi"/>
          <w:color w:val="262626"/>
        </w:rPr>
      </w:pPr>
      <w:r w:rsidRPr="00FC61BC">
        <w:rPr>
          <w:rFonts w:asciiTheme="majorHAnsi" w:hAnsiTheme="majorHAnsi"/>
          <w:color w:val="262626"/>
        </w:rPr>
        <w:t>110</w:t>
      </w:r>
      <w:r w:rsidRPr="00FC61BC">
        <w:rPr>
          <w:rFonts w:asciiTheme="majorHAnsi"/>
          <w:color w:val="262626"/>
        </w:rPr>
        <w:t>年</w:t>
      </w:r>
      <w:r w:rsidR="001B7500">
        <w:rPr>
          <w:rFonts w:asciiTheme="majorHAnsi" w:hAnsiTheme="majorHAnsi" w:hint="eastAsia"/>
          <w:color w:val="262626"/>
        </w:rPr>
        <w:t>9</w:t>
      </w:r>
      <w:r w:rsidRPr="00FC61BC">
        <w:rPr>
          <w:rFonts w:asciiTheme="majorHAnsi"/>
          <w:color w:val="262626"/>
        </w:rPr>
        <w:t>月</w:t>
      </w:r>
      <w:r w:rsidR="001B7500">
        <w:rPr>
          <w:rFonts w:asciiTheme="majorHAnsi" w:hAnsiTheme="majorHAnsi" w:hint="eastAsia"/>
          <w:color w:val="262626"/>
        </w:rPr>
        <w:t>29</w:t>
      </w:r>
      <w:r w:rsidRPr="00FC61BC">
        <w:rPr>
          <w:rFonts w:asciiTheme="majorHAnsi"/>
          <w:color w:val="262626"/>
        </w:rPr>
        <w:t>日</w:t>
      </w:r>
    </w:p>
    <w:p w14:paraId="23847327" w14:textId="77777777" w:rsidR="00F56791" w:rsidRPr="00FC61BC" w:rsidRDefault="00F56791" w:rsidP="00F56791">
      <w:pPr>
        <w:spacing w:line="500" w:lineRule="exact"/>
        <w:ind w:leftChars="200" w:left="480" w:firstLineChars="200" w:firstLine="640"/>
        <w:jc w:val="both"/>
        <w:rPr>
          <w:rFonts w:asciiTheme="majorHAnsi" w:eastAsia="標楷體" w:hAnsiTheme="majorHAnsi"/>
          <w:color w:val="262626"/>
          <w:sz w:val="32"/>
        </w:rPr>
      </w:pPr>
      <w:r w:rsidRPr="00FC61BC">
        <w:rPr>
          <w:rFonts w:asciiTheme="majorHAnsi" w:eastAsia="標楷體" w:hAnsiTheme="majorHAnsi"/>
          <w:color w:val="262626"/>
          <w:sz w:val="32"/>
        </w:rPr>
        <w:t>經濟部投資審議委員會於本（</w:t>
      </w:r>
      <w:r w:rsidRPr="00FC61BC">
        <w:rPr>
          <w:rFonts w:asciiTheme="majorHAnsi" w:eastAsia="標楷體" w:hAnsiTheme="majorHAnsi"/>
          <w:color w:val="262626"/>
          <w:sz w:val="32"/>
        </w:rPr>
        <w:t>110</w:t>
      </w:r>
      <w:r w:rsidRPr="00FC61BC">
        <w:rPr>
          <w:rFonts w:asciiTheme="majorHAnsi" w:eastAsia="標楷體" w:hAnsiTheme="majorHAnsi"/>
          <w:color w:val="262626"/>
          <w:sz w:val="32"/>
        </w:rPr>
        <w:t>）年</w:t>
      </w:r>
      <w:r w:rsidR="001B7500">
        <w:rPr>
          <w:rFonts w:asciiTheme="majorHAnsi" w:eastAsia="標楷體" w:hAnsiTheme="majorHAnsi" w:hint="eastAsia"/>
          <w:color w:val="262626"/>
          <w:sz w:val="32"/>
        </w:rPr>
        <w:t>9</w:t>
      </w:r>
      <w:r w:rsidRPr="00FC61BC">
        <w:rPr>
          <w:rFonts w:asciiTheme="majorHAnsi" w:eastAsia="標楷體" w:hAnsiTheme="majorHAnsi"/>
          <w:color w:val="262626"/>
          <w:sz w:val="32"/>
        </w:rPr>
        <w:t>月</w:t>
      </w:r>
      <w:r w:rsidR="001B7500">
        <w:rPr>
          <w:rFonts w:asciiTheme="majorHAnsi" w:eastAsia="標楷體" w:hAnsiTheme="majorHAnsi"/>
          <w:color w:val="262626"/>
          <w:sz w:val="32"/>
        </w:rPr>
        <w:t>2</w:t>
      </w:r>
      <w:r w:rsidR="001B7500">
        <w:rPr>
          <w:rFonts w:asciiTheme="majorHAnsi" w:eastAsia="標楷體" w:hAnsiTheme="majorHAnsi" w:hint="eastAsia"/>
          <w:color w:val="262626"/>
          <w:sz w:val="32"/>
        </w:rPr>
        <w:t>9</w:t>
      </w:r>
      <w:r w:rsidRPr="00FC61BC">
        <w:rPr>
          <w:rFonts w:asciiTheme="majorHAnsi" w:eastAsia="標楷體" w:hAnsiTheme="majorHAnsi"/>
          <w:color w:val="262626"/>
          <w:sz w:val="32"/>
        </w:rPr>
        <w:t>日召開第</w:t>
      </w:r>
      <w:r w:rsidR="001B7500">
        <w:rPr>
          <w:rFonts w:asciiTheme="majorHAnsi" w:eastAsia="標楷體" w:hAnsiTheme="majorHAnsi"/>
          <w:color w:val="262626"/>
          <w:sz w:val="32"/>
        </w:rPr>
        <w:t>120</w:t>
      </w:r>
      <w:r w:rsidR="001B7500">
        <w:rPr>
          <w:rFonts w:asciiTheme="majorHAnsi" w:eastAsia="標楷體" w:hAnsiTheme="majorHAnsi" w:hint="eastAsia"/>
          <w:color w:val="262626"/>
          <w:sz w:val="32"/>
        </w:rPr>
        <w:t>5</w:t>
      </w:r>
      <w:r w:rsidRPr="00FC61BC">
        <w:rPr>
          <w:rFonts w:asciiTheme="majorHAnsi" w:eastAsia="標楷體" w:hAnsiTheme="majorHAnsi"/>
          <w:color w:val="262626"/>
          <w:sz w:val="32"/>
        </w:rPr>
        <w:t>次委員會議，會中計核准及備查重大投資案件計</w:t>
      </w:r>
      <w:r w:rsidR="00C3115C">
        <w:rPr>
          <w:rFonts w:asciiTheme="majorHAnsi" w:eastAsia="標楷體" w:hAnsiTheme="majorHAnsi" w:hint="eastAsia"/>
          <w:color w:val="262626"/>
          <w:sz w:val="32"/>
        </w:rPr>
        <w:t>4</w:t>
      </w:r>
      <w:r w:rsidRPr="00FC61BC">
        <w:rPr>
          <w:rFonts w:asciiTheme="majorHAnsi" w:eastAsia="標楷體" w:hAnsiTheme="majorHAnsi"/>
          <w:color w:val="262626"/>
          <w:sz w:val="32"/>
        </w:rPr>
        <w:t>件。</w:t>
      </w:r>
    </w:p>
    <w:p w14:paraId="2B4255A4" w14:textId="77777777" w:rsidR="00F56791" w:rsidRPr="00FC61BC" w:rsidRDefault="00F56791" w:rsidP="00F56791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asciiTheme="majorHAnsi" w:eastAsia="標楷體" w:hAnsiTheme="majorHAnsi"/>
          <w:b/>
          <w:color w:val="262626"/>
          <w:sz w:val="32"/>
        </w:rPr>
      </w:pPr>
      <w:r w:rsidRPr="00FC61BC">
        <w:rPr>
          <w:rFonts w:asciiTheme="majorHAnsi" w:eastAsia="標楷體" w:hAnsiTheme="majorHAnsi"/>
          <w:b/>
          <w:color w:val="262626"/>
          <w:sz w:val="32"/>
        </w:rPr>
        <w:t>本次委員會議核准及核備投資案統計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993"/>
        <w:gridCol w:w="5245"/>
      </w:tblGrid>
      <w:tr w:rsidR="00F56791" w:rsidRPr="00FC61BC" w14:paraId="48FBD12A" w14:textId="77777777" w:rsidTr="001B7500">
        <w:trPr>
          <w:cantSplit/>
          <w:trHeight w:hRule="exact"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5071" w14:textId="77777777" w:rsidR="00F56791" w:rsidRPr="00FC61BC" w:rsidRDefault="00F56791">
            <w:pPr>
              <w:spacing w:line="480" w:lineRule="exact"/>
              <w:jc w:val="center"/>
              <w:rPr>
                <w:rFonts w:asciiTheme="majorHAnsi" w:eastAsia="標楷體" w:hAnsiTheme="majorHAnsi"/>
                <w:color w:val="262626"/>
                <w:sz w:val="32"/>
              </w:rPr>
            </w:pPr>
            <w:r w:rsidRPr="00FC61BC">
              <w:rPr>
                <w:rFonts w:asciiTheme="majorHAnsi" w:eastAsia="標楷體" w:hAnsiTheme="majorHAnsi"/>
                <w:color w:val="262626"/>
                <w:sz w:val="32"/>
              </w:rPr>
              <w:t>區分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CD0D" w14:textId="77777777" w:rsidR="00F56791" w:rsidRPr="00FC61BC" w:rsidRDefault="00F56791">
            <w:pPr>
              <w:spacing w:line="480" w:lineRule="exact"/>
              <w:jc w:val="center"/>
              <w:rPr>
                <w:rFonts w:asciiTheme="majorHAnsi" w:eastAsia="標楷體" w:hAnsiTheme="majorHAnsi"/>
                <w:color w:val="262626"/>
                <w:sz w:val="32"/>
              </w:rPr>
            </w:pPr>
            <w:r w:rsidRPr="00FC61BC">
              <w:rPr>
                <w:rFonts w:asciiTheme="majorHAnsi" w:eastAsia="標楷體" w:hAnsiTheme="majorHAnsi"/>
                <w:color w:val="262626"/>
                <w:sz w:val="32"/>
              </w:rPr>
              <w:t>件數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48EF" w14:textId="77777777" w:rsidR="00F56791" w:rsidRPr="00FC61BC" w:rsidRDefault="00F56791">
            <w:pPr>
              <w:spacing w:line="480" w:lineRule="exact"/>
              <w:jc w:val="center"/>
              <w:rPr>
                <w:rFonts w:asciiTheme="majorHAnsi" w:eastAsia="標楷體" w:hAnsiTheme="majorHAnsi"/>
                <w:color w:val="262626"/>
                <w:sz w:val="32"/>
              </w:rPr>
            </w:pPr>
            <w:r w:rsidRPr="00FC61BC">
              <w:rPr>
                <w:rFonts w:asciiTheme="majorHAnsi" w:eastAsia="標楷體" w:hAnsiTheme="majorHAnsi"/>
                <w:color w:val="262626"/>
                <w:sz w:val="32"/>
              </w:rPr>
              <w:t>投資金額</w:t>
            </w:r>
          </w:p>
        </w:tc>
      </w:tr>
      <w:tr w:rsidR="00F56791" w:rsidRPr="00FC61BC" w14:paraId="1D5FBE0E" w14:textId="77777777" w:rsidTr="001B7500">
        <w:trPr>
          <w:cantSplit/>
          <w:trHeight w:hRule="exact" w:val="16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1803" w14:textId="77777777" w:rsidR="00F56791" w:rsidRPr="00FC61BC" w:rsidRDefault="00F56791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bCs/>
                <w:sz w:val="32"/>
              </w:rPr>
              <w:t>僑外投資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3089" w14:textId="77777777" w:rsidR="00F56791" w:rsidRPr="00FC61BC" w:rsidRDefault="00550D89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2</w:t>
            </w:r>
            <w:r w:rsidR="00F56791" w:rsidRPr="00FC61BC">
              <w:rPr>
                <w:rFonts w:asciiTheme="majorHAnsi" w:eastAsia="標楷體" w:hAnsiTheme="majorHAnsi"/>
                <w:sz w:val="32"/>
              </w:rPr>
              <w:t>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E4F0" w14:textId="77777777" w:rsidR="00F56791" w:rsidRPr="00FC61BC" w:rsidRDefault="00550D89" w:rsidP="00824A38">
            <w:pPr>
              <w:jc w:val="right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新臺幣</w:t>
            </w:r>
            <w:r w:rsidR="00824A38">
              <w:rPr>
                <w:rFonts w:asciiTheme="majorHAnsi" w:eastAsia="標楷體" w:hAnsiTheme="majorHAnsi" w:hint="eastAsia"/>
                <w:sz w:val="32"/>
              </w:rPr>
              <w:t>115</w:t>
            </w:r>
            <w:r w:rsidRPr="00FC61BC">
              <w:rPr>
                <w:rFonts w:asciiTheme="majorHAnsi" w:eastAsia="標楷體" w:hAnsiTheme="majorHAnsi"/>
                <w:sz w:val="32"/>
              </w:rPr>
              <w:t>億</w:t>
            </w:r>
            <w:r w:rsidR="00824A38">
              <w:rPr>
                <w:rFonts w:asciiTheme="majorHAnsi" w:eastAsia="標楷體" w:hAnsiTheme="majorHAnsi" w:hint="eastAsia"/>
                <w:sz w:val="32"/>
              </w:rPr>
              <w:t>400</w:t>
            </w:r>
            <w:r w:rsidRPr="00FC61BC">
              <w:rPr>
                <w:rFonts w:asciiTheme="majorHAnsi" w:eastAsia="標楷體" w:hAnsiTheme="majorHAnsi"/>
                <w:sz w:val="32"/>
              </w:rPr>
              <w:t>萬元</w:t>
            </w:r>
          </w:p>
        </w:tc>
      </w:tr>
      <w:tr w:rsidR="00F56791" w:rsidRPr="00FC61BC" w14:paraId="090BB788" w14:textId="77777777" w:rsidTr="001B7500">
        <w:trPr>
          <w:cantSplit/>
          <w:trHeight w:hRule="exact" w:val="14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E404" w14:textId="77777777" w:rsidR="00F56791" w:rsidRPr="00FC61BC" w:rsidRDefault="00C667C2">
            <w:pPr>
              <w:jc w:val="center"/>
              <w:rPr>
                <w:rFonts w:asciiTheme="majorHAnsi" w:eastAsia="標楷體" w:hAnsiTheme="majorHAnsi"/>
                <w:bCs/>
                <w:sz w:val="32"/>
              </w:rPr>
            </w:pPr>
            <w:r>
              <w:rPr>
                <w:rFonts w:asciiTheme="majorHAnsi" w:eastAsia="標楷體" w:hAnsiTheme="majorHAnsi" w:hint="eastAsia"/>
                <w:bCs/>
                <w:sz w:val="32"/>
              </w:rPr>
              <w:t>陸資</w:t>
            </w:r>
            <w:r w:rsidR="00F56791" w:rsidRPr="00FC61BC">
              <w:rPr>
                <w:rFonts w:asciiTheme="majorHAnsi" w:eastAsia="標楷體" w:hAnsiTheme="majorHAnsi"/>
                <w:bCs/>
                <w:sz w:val="32"/>
              </w:rPr>
              <w:t>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71DA" w14:textId="77777777" w:rsidR="00F56791" w:rsidRPr="00FC61BC" w:rsidRDefault="00824A38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>
              <w:rPr>
                <w:rFonts w:asciiTheme="majorHAnsi" w:eastAsia="標楷體" w:hAnsiTheme="majorHAnsi" w:hint="eastAsia"/>
                <w:sz w:val="32"/>
              </w:rPr>
              <w:t>2</w:t>
            </w:r>
            <w:r w:rsidR="00F56791" w:rsidRPr="00FC61BC">
              <w:rPr>
                <w:rFonts w:asciiTheme="majorHAnsi" w:eastAsia="標楷體" w:hAnsiTheme="majorHAnsi"/>
                <w:sz w:val="32"/>
              </w:rPr>
              <w:t>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9089" w14:textId="77777777" w:rsidR="00F56791" w:rsidRPr="00FC61BC" w:rsidRDefault="00103F15" w:rsidP="00824A38">
            <w:pPr>
              <w:jc w:val="right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新臺幣</w:t>
            </w:r>
            <w:r w:rsidR="00824A38">
              <w:rPr>
                <w:rFonts w:asciiTheme="majorHAnsi" w:eastAsia="標楷體" w:hAnsiTheme="majorHAnsi" w:hint="eastAsia"/>
                <w:sz w:val="32"/>
              </w:rPr>
              <w:t>1</w:t>
            </w:r>
            <w:r w:rsidRPr="00FC61BC">
              <w:rPr>
                <w:rFonts w:asciiTheme="majorHAnsi" w:eastAsia="標楷體" w:hAnsiTheme="majorHAnsi"/>
                <w:sz w:val="32"/>
              </w:rPr>
              <w:t>億</w:t>
            </w:r>
            <w:r w:rsidR="00824A38">
              <w:rPr>
                <w:rFonts w:asciiTheme="majorHAnsi" w:eastAsia="標楷體" w:hAnsiTheme="majorHAnsi" w:hint="eastAsia"/>
                <w:sz w:val="32"/>
              </w:rPr>
              <w:t>7,095</w:t>
            </w:r>
            <w:r w:rsidRPr="00FC61BC">
              <w:rPr>
                <w:rFonts w:asciiTheme="majorHAnsi" w:eastAsia="標楷體" w:hAnsiTheme="majorHAnsi"/>
                <w:sz w:val="32"/>
              </w:rPr>
              <w:t>萬</w:t>
            </w:r>
            <w:r w:rsidR="00824A38">
              <w:rPr>
                <w:rFonts w:asciiTheme="majorHAnsi" w:eastAsia="標楷體" w:hAnsiTheme="majorHAnsi" w:hint="eastAsia"/>
                <w:sz w:val="32"/>
              </w:rPr>
              <w:t>元</w:t>
            </w:r>
          </w:p>
        </w:tc>
      </w:tr>
    </w:tbl>
    <w:p w14:paraId="218C9521" w14:textId="77777777" w:rsidR="00F56791" w:rsidRPr="00FC61BC" w:rsidRDefault="00F56791" w:rsidP="00F56791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asciiTheme="majorHAnsi" w:eastAsia="標楷體" w:hAnsiTheme="majorHAnsi"/>
          <w:b/>
          <w:sz w:val="32"/>
        </w:rPr>
      </w:pPr>
      <w:r w:rsidRPr="00FC61BC">
        <w:rPr>
          <w:rFonts w:asciiTheme="majorHAnsi" w:eastAsia="標楷體" w:hAnsiTheme="majorHAnsi"/>
          <w:b/>
          <w:sz w:val="32"/>
        </w:rPr>
        <w:t>本次委員會議核准及核備投資案摘要</w:t>
      </w:r>
    </w:p>
    <w:p w14:paraId="2941D9B9" w14:textId="77777777" w:rsidR="00F56791" w:rsidRPr="00FC61BC" w:rsidRDefault="00F56791" w:rsidP="00F56791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asciiTheme="majorHAnsi" w:eastAsia="標楷體" w:hAnsiTheme="majorHAnsi"/>
          <w:b/>
          <w:sz w:val="32"/>
        </w:rPr>
      </w:pPr>
      <w:r w:rsidRPr="00FC61BC">
        <w:rPr>
          <w:rFonts w:asciiTheme="majorHAnsi" w:eastAsia="標楷體"/>
          <w:b/>
          <w:bCs/>
          <w:sz w:val="32"/>
        </w:rPr>
        <w:t>僑外投資部份</w:t>
      </w:r>
    </w:p>
    <w:p w14:paraId="5E4A53AA" w14:textId="49A37EA3" w:rsidR="001B7500" w:rsidRPr="00C80F8E" w:rsidRDefault="003D180B" w:rsidP="00550D89">
      <w:pPr>
        <w:pStyle w:val="a5"/>
        <w:numPr>
          <w:ilvl w:val="0"/>
          <w:numId w:val="4"/>
        </w:numPr>
        <w:spacing w:before="120" w:after="120" w:line="480" w:lineRule="exact"/>
        <w:ind w:leftChars="0" w:left="1418" w:hanging="992"/>
        <w:jc w:val="both"/>
        <w:rPr>
          <w:rFonts w:asciiTheme="majorHAnsi" w:eastAsia="標楷體" w:hAnsiTheme="majorHAnsi"/>
          <w:color w:val="000000" w:themeColor="text1"/>
          <w:sz w:val="32"/>
          <w:szCs w:val="32"/>
        </w:rPr>
      </w:pPr>
      <w:r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核准</w:t>
      </w:r>
      <w:r w:rsidR="001B7500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泰商泰金寶科技股份有限公司以新臺幣</w:t>
      </w:r>
      <w:r w:rsidR="00D25D9D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85億500萬</w:t>
      </w:r>
      <w:r w:rsidR="001B7500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元增加投資原投資事業泰金寶電通股份有限公司，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經營</w:t>
      </w:r>
      <w:r w:rsidR="00383D36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電子設備及其零組件批發業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4788935" w14:textId="7FE8DD81" w:rsidR="00550D89" w:rsidRPr="00C80F8E" w:rsidRDefault="003D180B" w:rsidP="005A602F">
      <w:pPr>
        <w:pStyle w:val="a5"/>
        <w:numPr>
          <w:ilvl w:val="0"/>
          <w:numId w:val="4"/>
        </w:numPr>
        <w:spacing w:before="120" w:after="120" w:line="480" w:lineRule="exact"/>
        <w:ind w:leftChars="0" w:left="1418" w:hanging="992"/>
        <w:jc w:val="both"/>
        <w:rPr>
          <w:rFonts w:asciiTheme="majorHAnsi" w:eastAsia="標楷體" w:hAnsiTheme="majorHAnsi"/>
          <w:color w:val="000000" w:themeColor="text1"/>
          <w:sz w:val="32"/>
          <w:szCs w:val="32"/>
        </w:rPr>
      </w:pPr>
      <w:r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備查</w:t>
      </w:r>
      <w:r w:rsidR="0069753D"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新加坡商</w:t>
      </w:r>
      <w:r w:rsidR="0069753D"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EMPYRION DC PTE. LTD</w:t>
      </w:r>
      <w:r w:rsidR="0069753D"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以新臺幣</w:t>
      </w:r>
      <w:r w:rsidR="0069753D"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29</w:t>
      </w:r>
      <w:r w:rsidR="0069753D"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億</w:t>
      </w:r>
      <w:r w:rsidR="0069753D"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9,900</w:t>
      </w:r>
      <w:r w:rsidR="0069753D" w:rsidRPr="00C80F8E">
        <w:rPr>
          <w:rFonts w:asciiTheme="majorHAnsi" w:eastAsia="標楷體" w:hAnsi="標楷體" w:hint="eastAsia"/>
          <w:color w:val="000000" w:themeColor="text1"/>
          <w:sz w:val="32"/>
          <w:szCs w:val="32"/>
        </w:rPr>
        <w:t>萬元增加投資原投資事業佇慧數據股份有限公司，經營資訊軟體服務業等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F349808" w14:textId="77777777" w:rsidR="005A602F" w:rsidRPr="005A602F" w:rsidRDefault="001F35FE" w:rsidP="00550D89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asciiTheme="majorHAnsi" w:eastAsia="標楷體" w:hAnsiTheme="majorHAnsi"/>
          <w:b/>
          <w:color w:val="262626"/>
          <w:sz w:val="32"/>
        </w:rPr>
      </w:pPr>
      <w:r w:rsidRPr="00892247">
        <w:rPr>
          <w:rFonts w:eastAsia="標楷體"/>
          <w:b/>
          <w:bCs/>
          <w:color w:val="262626"/>
          <w:sz w:val="32"/>
        </w:rPr>
        <w:t>陸資投資部份</w:t>
      </w:r>
    </w:p>
    <w:p w14:paraId="1FB96CAF" w14:textId="485433C7" w:rsidR="005A602F" w:rsidRPr="00C80F8E" w:rsidRDefault="003D180B" w:rsidP="004A7AC4">
      <w:pPr>
        <w:pStyle w:val="a5"/>
        <w:numPr>
          <w:ilvl w:val="0"/>
          <w:numId w:val="8"/>
        </w:numPr>
        <w:spacing w:before="120" w:after="120" w:line="480" w:lineRule="exact"/>
        <w:ind w:leftChars="0" w:left="1418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80F8E">
        <w:rPr>
          <w:rFonts w:asciiTheme="majorHAnsi" w:eastAsia="標楷體" w:hAnsiTheme="majorHAnsi" w:hint="eastAsia"/>
          <w:color w:val="000000" w:themeColor="text1"/>
          <w:sz w:val="32"/>
          <w:szCs w:val="32"/>
        </w:rPr>
        <w:t>核准</w:t>
      </w:r>
      <w:r w:rsidR="001F35FE" w:rsidRPr="00C80F8E">
        <w:rPr>
          <w:rFonts w:asciiTheme="majorHAnsi" w:eastAsia="標楷體" w:hAnsiTheme="majorHAnsi" w:hint="eastAsia"/>
          <w:color w:val="000000" w:themeColor="text1"/>
          <w:sz w:val="32"/>
          <w:szCs w:val="32"/>
        </w:rPr>
        <w:t>陸資投資人</w:t>
      </w:r>
      <w:r w:rsidR="005A602F" w:rsidRPr="00C80F8E">
        <w:rPr>
          <w:rFonts w:asciiTheme="majorHAnsi" w:eastAsia="標楷體" w:hAnsiTheme="majorHAnsi" w:hint="eastAsia"/>
          <w:color w:val="000000" w:themeColor="text1"/>
          <w:sz w:val="32"/>
          <w:szCs w:val="32"/>
        </w:rPr>
        <w:t>英屬開曼群島商</w:t>
      </w:r>
      <w:r w:rsidR="005A602F" w:rsidRPr="00C80F8E">
        <w:rPr>
          <w:rFonts w:asciiTheme="majorHAnsi" w:eastAsia="標楷體" w:hAnsiTheme="majorHAnsi" w:hint="eastAsia"/>
          <w:color w:val="000000" w:themeColor="text1"/>
          <w:sz w:val="32"/>
          <w:szCs w:val="32"/>
        </w:rPr>
        <w:t>CSTONE PHARMACEUTICALS</w:t>
      </w:r>
      <w:r w:rsidR="005A602F" w:rsidRPr="00C80F8E">
        <w:rPr>
          <w:rFonts w:asciiTheme="majorHAnsi" w:eastAsia="標楷體" w:hAnsiTheme="majorHAnsi" w:hint="eastAsia"/>
          <w:color w:val="000000" w:themeColor="text1"/>
          <w:sz w:val="32"/>
          <w:szCs w:val="32"/>
        </w:rPr>
        <w:t>以</w:t>
      </w:r>
      <w:r w:rsidR="005A602F" w:rsidRPr="00C80F8E">
        <w:rPr>
          <w:rFonts w:ascii="標楷體" w:eastAsia="標楷體" w:hAnsi="標楷體"/>
          <w:color w:val="000000" w:themeColor="text1"/>
          <w:sz w:val="32"/>
          <w:szCs w:val="32"/>
        </w:rPr>
        <w:t>新臺幣1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億</w:t>
      </w:r>
      <w:r w:rsidR="005A602F" w:rsidRPr="00C80F8E">
        <w:rPr>
          <w:rFonts w:ascii="標楷體" w:eastAsia="標楷體" w:hAnsi="標楷體"/>
          <w:color w:val="000000" w:themeColor="text1"/>
          <w:sz w:val="32"/>
          <w:szCs w:val="32"/>
        </w:rPr>
        <w:t>6,800萬元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A602F" w:rsidRPr="00C80F8E">
        <w:rPr>
          <w:rFonts w:ascii="標楷體" w:eastAsia="標楷體" w:hAnsi="標楷體"/>
          <w:color w:val="000000" w:themeColor="text1"/>
          <w:sz w:val="32"/>
          <w:szCs w:val="32"/>
        </w:rPr>
        <w:t>投資設立臺灣基石藥業有限公司，</w:t>
      </w:r>
      <w:r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並限制僅得從事進</w:t>
      </w:r>
      <w:r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口及銷售於加拿大、英國、美國生產製造之</w:t>
      </w:r>
      <w:r w:rsidRPr="00C80F8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款分子標靶藥物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78B4021" w14:textId="26F375C7" w:rsidR="005A602F" w:rsidRPr="00C80F8E" w:rsidRDefault="003D180B" w:rsidP="004A7AC4">
      <w:pPr>
        <w:pStyle w:val="a5"/>
        <w:numPr>
          <w:ilvl w:val="0"/>
          <w:numId w:val="8"/>
        </w:numPr>
        <w:spacing w:before="120" w:after="120" w:line="480" w:lineRule="exact"/>
        <w:ind w:leftChars="0" w:left="1418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核准</w:t>
      </w:r>
      <w:r w:rsidR="001F35FE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陸資投資人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新加坡商杰普特光電有限公司以新臺幣295萬元，投資設立台灣</w:t>
      </w:r>
      <w:r w:rsidR="005A602F" w:rsidRPr="00C80F8E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杰普特光電有限</w:t>
      </w:r>
      <w:r w:rsidR="005A602F" w:rsidRPr="00C80F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公司</w:t>
      </w:r>
      <w:r w:rsidR="00C667C2" w:rsidRPr="00C80F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並限制僅得從事</w:t>
      </w:r>
      <w:r w:rsidRPr="00C80F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鐳射修阻機等機械設備及零部件之銷售、安裝、售後服務、軟體升級及硬體改良等技術服務</w:t>
      </w:r>
      <w:r w:rsidR="005A602F" w:rsidRPr="00C80F8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4280190" w14:textId="77777777" w:rsidR="00F9002B" w:rsidRPr="00FC61BC" w:rsidRDefault="00F9002B" w:rsidP="00BF6608">
      <w:pPr>
        <w:spacing w:before="120" w:after="120" w:line="240" w:lineRule="exact"/>
        <w:jc w:val="both"/>
        <w:rPr>
          <w:rFonts w:asciiTheme="majorHAnsi" w:eastAsia="標楷體" w:hAnsiTheme="majorHAnsi"/>
          <w:sz w:val="32"/>
          <w:szCs w:val="32"/>
        </w:rPr>
      </w:pPr>
    </w:p>
    <w:p w14:paraId="2DD0C768" w14:textId="51C92F66" w:rsidR="00BF6608" w:rsidRDefault="00BF6608" w:rsidP="00BF6608">
      <w:pPr>
        <w:spacing w:before="120" w:after="120" w:line="240" w:lineRule="exact"/>
        <w:jc w:val="both"/>
        <w:rPr>
          <w:rFonts w:asciiTheme="majorHAnsi" w:eastAsia="標楷體" w:hAnsiTheme="majorHAnsi"/>
          <w:sz w:val="32"/>
          <w:szCs w:val="32"/>
        </w:rPr>
      </w:pPr>
    </w:p>
    <w:p w14:paraId="2E2C2B08" w14:textId="77777777" w:rsidR="00C80F8E" w:rsidRPr="00FC61BC" w:rsidRDefault="00C80F8E" w:rsidP="00BF6608">
      <w:pPr>
        <w:spacing w:before="120" w:after="120" w:line="240" w:lineRule="exact"/>
        <w:jc w:val="both"/>
        <w:rPr>
          <w:rFonts w:asciiTheme="majorHAnsi" w:eastAsia="標楷體" w:hAnsiTheme="majorHAnsi" w:hint="eastAsia"/>
          <w:sz w:val="32"/>
          <w:szCs w:val="32"/>
        </w:rPr>
      </w:pPr>
    </w:p>
    <w:p w14:paraId="3D7EAF4E" w14:textId="77777777" w:rsidR="00F56791" w:rsidRPr="00FC61BC" w:rsidRDefault="00F56791" w:rsidP="00C80F8E">
      <w:pPr>
        <w:pStyle w:val="a5"/>
        <w:spacing w:before="120" w:after="120" w:line="46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投審會發言人</w:t>
      </w:r>
      <w:r w:rsidRPr="00FC61BC">
        <w:rPr>
          <w:rFonts w:asciiTheme="majorHAnsi" w:eastAsia="標楷體" w:hAnsiTheme="majorHAnsi"/>
          <w:sz w:val="28"/>
        </w:rPr>
        <w:t xml:space="preserve">: </w:t>
      </w:r>
      <w:r w:rsidRPr="00FC61BC">
        <w:rPr>
          <w:rFonts w:asciiTheme="majorHAnsi" w:eastAsia="標楷體" w:hAnsi="標楷體"/>
          <w:sz w:val="28"/>
        </w:rPr>
        <w:t>呂貞慧副執行秘書</w:t>
      </w:r>
    </w:p>
    <w:p w14:paraId="40182AF6" w14:textId="77777777" w:rsidR="00F56791" w:rsidRPr="00FC61BC" w:rsidRDefault="00F56791" w:rsidP="00C80F8E">
      <w:pPr>
        <w:pStyle w:val="a5"/>
        <w:spacing w:before="120" w:after="120" w:line="46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辦公室電話：（</w:t>
      </w:r>
      <w:r w:rsidRPr="00FC61BC">
        <w:rPr>
          <w:rFonts w:asciiTheme="majorHAnsi" w:eastAsia="標楷體" w:hAnsiTheme="majorHAnsi"/>
          <w:sz w:val="28"/>
        </w:rPr>
        <w:t>02</w:t>
      </w:r>
      <w:r w:rsidRPr="00FC61BC">
        <w:rPr>
          <w:rFonts w:asciiTheme="majorHAnsi" w:eastAsia="標楷體" w:hAnsi="標楷體"/>
          <w:sz w:val="28"/>
        </w:rPr>
        <w:t>）</w:t>
      </w:r>
      <w:r w:rsidRPr="00FC61BC">
        <w:rPr>
          <w:rFonts w:asciiTheme="majorHAnsi" w:eastAsia="標楷體" w:hAnsiTheme="majorHAnsi"/>
          <w:sz w:val="28"/>
        </w:rPr>
        <w:t xml:space="preserve">3343-5706 </w:t>
      </w:r>
    </w:p>
    <w:p w14:paraId="7A350138" w14:textId="77777777" w:rsidR="00F56791" w:rsidRPr="00FC61BC" w:rsidRDefault="00F56791" w:rsidP="00C80F8E">
      <w:pPr>
        <w:pStyle w:val="a5"/>
        <w:spacing w:before="120" w:after="120" w:line="46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行動電話：</w:t>
      </w:r>
      <w:r w:rsidRPr="00FC61BC">
        <w:rPr>
          <w:rFonts w:asciiTheme="majorHAnsi" w:eastAsia="標楷體" w:hAnsiTheme="majorHAnsi"/>
          <w:sz w:val="28"/>
        </w:rPr>
        <w:t xml:space="preserve">0921-926423 </w:t>
      </w:r>
    </w:p>
    <w:p w14:paraId="5E7CCA16" w14:textId="77777777" w:rsidR="00006EF9" w:rsidRPr="00FC61BC" w:rsidRDefault="00F56791" w:rsidP="00C80F8E">
      <w:pPr>
        <w:pStyle w:val="a5"/>
        <w:spacing w:before="120" w:after="120" w:line="46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電子信箱：</w:t>
      </w:r>
      <w:r w:rsidRPr="00FC61BC">
        <w:rPr>
          <w:rFonts w:asciiTheme="majorHAnsi" w:eastAsia="標楷體" w:hAnsiTheme="majorHAnsi"/>
          <w:sz w:val="28"/>
        </w:rPr>
        <w:t>rio@moea.gov.tw</w:t>
      </w:r>
    </w:p>
    <w:sectPr w:rsidR="00006EF9" w:rsidRPr="00FC61BC" w:rsidSect="00006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75F6" w14:textId="77777777" w:rsidR="00935743" w:rsidRDefault="00935743" w:rsidP="00550D89">
      <w:r>
        <w:separator/>
      </w:r>
    </w:p>
  </w:endnote>
  <w:endnote w:type="continuationSeparator" w:id="0">
    <w:p w14:paraId="55099230" w14:textId="77777777" w:rsidR="00935743" w:rsidRDefault="00935743" w:rsidP="0055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032D" w14:textId="77777777" w:rsidR="00935743" w:rsidRDefault="00935743" w:rsidP="00550D89">
      <w:r>
        <w:separator/>
      </w:r>
    </w:p>
  </w:footnote>
  <w:footnote w:type="continuationSeparator" w:id="0">
    <w:p w14:paraId="44082A79" w14:textId="77777777" w:rsidR="00935743" w:rsidRDefault="00935743" w:rsidP="0055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473" w:hanging="4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5379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59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F7BCD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59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613BF"/>
    <w:multiLevelType w:val="hybridMultilevel"/>
    <w:tmpl w:val="F320BCA6"/>
    <w:lvl w:ilvl="0" w:tplc="BDDC22C4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22D40"/>
    <w:multiLevelType w:val="hybridMultilevel"/>
    <w:tmpl w:val="4C141170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F71A6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1"/>
    <w:rsid w:val="0000514D"/>
    <w:rsid w:val="00006EF9"/>
    <w:rsid w:val="00085CF2"/>
    <w:rsid w:val="00091627"/>
    <w:rsid w:val="00103F15"/>
    <w:rsid w:val="001069D6"/>
    <w:rsid w:val="001237CA"/>
    <w:rsid w:val="001B65A7"/>
    <w:rsid w:val="001B7500"/>
    <w:rsid w:val="001F35FE"/>
    <w:rsid w:val="00262EA1"/>
    <w:rsid w:val="00274FCF"/>
    <w:rsid w:val="00280B9D"/>
    <w:rsid w:val="0029079D"/>
    <w:rsid w:val="002B2AD5"/>
    <w:rsid w:val="002B60E0"/>
    <w:rsid w:val="002C6B80"/>
    <w:rsid w:val="00383D36"/>
    <w:rsid w:val="003D180B"/>
    <w:rsid w:val="00420F83"/>
    <w:rsid w:val="0042622D"/>
    <w:rsid w:val="004266A9"/>
    <w:rsid w:val="00497B2B"/>
    <w:rsid w:val="004A7AC4"/>
    <w:rsid w:val="00550D89"/>
    <w:rsid w:val="0057168F"/>
    <w:rsid w:val="00581618"/>
    <w:rsid w:val="00595704"/>
    <w:rsid w:val="005A602F"/>
    <w:rsid w:val="005D20BD"/>
    <w:rsid w:val="00604AE6"/>
    <w:rsid w:val="0069753D"/>
    <w:rsid w:val="0071643C"/>
    <w:rsid w:val="007663ED"/>
    <w:rsid w:val="0077258E"/>
    <w:rsid w:val="00824A38"/>
    <w:rsid w:val="008D16BB"/>
    <w:rsid w:val="00935743"/>
    <w:rsid w:val="009C479C"/>
    <w:rsid w:val="009E42A0"/>
    <w:rsid w:val="00A21EDC"/>
    <w:rsid w:val="00A73106"/>
    <w:rsid w:val="00BD3AF6"/>
    <w:rsid w:val="00BF63CE"/>
    <w:rsid w:val="00BF6608"/>
    <w:rsid w:val="00C3115C"/>
    <w:rsid w:val="00C667C2"/>
    <w:rsid w:val="00C80F8E"/>
    <w:rsid w:val="00C85832"/>
    <w:rsid w:val="00D12227"/>
    <w:rsid w:val="00D129C4"/>
    <w:rsid w:val="00D25D9D"/>
    <w:rsid w:val="00E17D99"/>
    <w:rsid w:val="00EC0531"/>
    <w:rsid w:val="00F56791"/>
    <w:rsid w:val="00F9002B"/>
    <w:rsid w:val="00FC61BC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8FB3"/>
  <w15:docId w15:val="{72ADEB65-3B47-D64A-818A-5B98F5E7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F56791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F56791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F5679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55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50D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5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50D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6A83-7582-4262-8B02-AF2C9DB6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2021-09-29T04:32:00Z</dcterms:created>
  <dcterms:modified xsi:type="dcterms:W3CDTF">2021-09-29T05:43:00Z</dcterms:modified>
</cp:coreProperties>
</file>