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BB" w:rsidRPr="00794FA1" w:rsidRDefault="00FA02BB" w:rsidP="00FA02BB">
      <w:pPr>
        <w:rPr>
          <w:rFonts w:ascii="標楷體" w:eastAsia="標楷體" w:hAnsi="標楷體"/>
          <w:sz w:val="32"/>
          <w:szCs w:val="32"/>
        </w:rPr>
      </w:pPr>
      <w:r w:rsidRPr="00794FA1">
        <w:rPr>
          <w:rFonts w:ascii="標楷體" w:eastAsia="標楷體" w:hAnsi="標楷體" w:hint="eastAsia"/>
          <w:sz w:val="32"/>
          <w:szCs w:val="32"/>
        </w:rPr>
        <w:t>案例四    詐領油料費</w:t>
      </w:r>
    </w:p>
    <w:p w:rsidR="00FA02BB" w:rsidRPr="00794FA1" w:rsidRDefault="00FA02BB" w:rsidP="00124EB9">
      <w:pPr>
        <w:jc w:val="both"/>
        <w:rPr>
          <w:rFonts w:ascii="標楷體" w:eastAsia="標楷體" w:hAnsi="標楷體"/>
          <w:sz w:val="32"/>
          <w:szCs w:val="32"/>
        </w:rPr>
      </w:pPr>
      <w:r w:rsidRPr="00794FA1">
        <w:rPr>
          <w:rFonts w:ascii="標楷體" w:eastAsia="標楷體" w:hAnsi="標楷體" w:hint="eastAsia"/>
          <w:sz w:val="32"/>
          <w:szCs w:val="32"/>
        </w:rPr>
        <w:t>某處技工負責公務車輛之維護及駕駛業務，明知公務車加油卡僅得作為公務車加油簽帳之用，竟持公務車加油卡，使加油站員工陷於錯誤，將價值3,000餘元之汽油加入其私人車輛；且未經該處技正兼主任之同意，</w:t>
      </w:r>
      <w:proofErr w:type="gramStart"/>
      <w:r w:rsidRPr="00794FA1">
        <w:rPr>
          <w:rFonts w:ascii="標楷體" w:eastAsia="標楷體" w:hAnsi="標楷體" w:hint="eastAsia"/>
          <w:sz w:val="32"/>
          <w:szCs w:val="32"/>
        </w:rPr>
        <w:t>逕</w:t>
      </w:r>
      <w:proofErr w:type="gramEnd"/>
      <w:r w:rsidRPr="00794FA1">
        <w:rPr>
          <w:rFonts w:ascii="標楷體" w:eastAsia="標楷體" w:hAnsi="標楷體" w:hint="eastAsia"/>
          <w:sz w:val="32"/>
          <w:szCs w:val="32"/>
        </w:rPr>
        <w:t>於公務車「油料月報</w:t>
      </w:r>
      <w:bookmarkStart w:id="0" w:name="_GoBack"/>
      <w:bookmarkEnd w:id="0"/>
      <w:r w:rsidRPr="00794FA1">
        <w:rPr>
          <w:rFonts w:ascii="標楷體" w:eastAsia="標楷體" w:hAnsi="標楷體" w:hint="eastAsia"/>
          <w:sz w:val="32"/>
          <w:szCs w:val="32"/>
        </w:rPr>
        <w:t>表」偽造其簽名，表示該名主任於是日曾使用該公務車。</w:t>
      </w:r>
    </w:p>
    <w:p w:rsidR="00A50E84" w:rsidRPr="00FA02BB" w:rsidRDefault="00FA02BB" w:rsidP="00124EB9">
      <w:pPr>
        <w:jc w:val="both"/>
      </w:pPr>
      <w:r w:rsidRPr="00794FA1">
        <w:rPr>
          <w:rFonts w:ascii="標楷體" w:eastAsia="標楷體" w:hAnsi="標楷體" w:hint="eastAsia"/>
          <w:sz w:val="32"/>
          <w:szCs w:val="32"/>
        </w:rPr>
        <w:t>檢察官認偽造簽名部分，涉犯刑法第210條「偽造私文書罪」；利用公務用加油卡核銷私人用車用油部分，涉犯刑法第339條第1項「詐欺取財罪」，惟審酌其犯罪情節尚屬輕微，且犯後坦承犯行、態度良好，並已將詐得款項支付予該加油站，乃為緩起訴處分。</w:t>
      </w:r>
    </w:p>
    <w:sectPr w:rsidR="00A50E84" w:rsidRPr="00FA02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BB"/>
    <w:rsid w:val="00124EB9"/>
    <w:rsid w:val="008D46AF"/>
    <w:rsid w:val="008D4E46"/>
    <w:rsid w:val="00BA223F"/>
    <w:rsid w:val="00E63A34"/>
    <w:rsid w:val="00FA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Ministry of Economic Affairs,R.O.C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黃雅萱</dc:creator>
  <cp:lastModifiedBy>黃雅萱</cp:lastModifiedBy>
  <cp:revision>4</cp:revision>
  <dcterms:created xsi:type="dcterms:W3CDTF">2016-01-27T06:35:00Z</dcterms:created>
  <dcterms:modified xsi:type="dcterms:W3CDTF">2016-02-15T08:00:00Z</dcterms:modified>
</cp:coreProperties>
</file>