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8C82D" w14:textId="77777777" w:rsidR="0003287E" w:rsidRPr="000118AC" w:rsidRDefault="003C633D">
      <w:pPr>
        <w:pStyle w:val="Standard"/>
        <w:jc w:val="center"/>
        <w:rPr>
          <w:rFonts w:ascii="標楷體" w:eastAsia="標楷體" w:hAnsi="標楷體" w:cs="標楷體"/>
          <w:b/>
          <w:bCs/>
          <w:sz w:val="28"/>
        </w:rPr>
      </w:pPr>
      <w:r w:rsidRPr="000118AC">
        <w:rPr>
          <w:rFonts w:ascii="標楷體" w:eastAsia="標楷體" w:hAnsi="標楷體" w:cs="標楷體"/>
          <w:b/>
          <w:bCs/>
          <w:sz w:val="28"/>
        </w:rPr>
        <w:t>經濟部及所屬機關(構)辦理各類會議及講習訓練作業規定</w:t>
      </w:r>
    </w:p>
    <w:p w14:paraId="105441C3" w14:textId="77777777" w:rsidR="0003287E" w:rsidRPr="000118AC" w:rsidRDefault="0003287E">
      <w:pPr>
        <w:pStyle w:val="Standard"/>
        <w:jc w:val="center"/>
        <w:rPr>
          <w:rFonts w:ascii="標楷體" w:eastAsia="標楷體" w:hAnsi="標楷體" w:cs="標楷體"/>
          <w:b/>
          <w:bCs/>
          <w:sz w:val="28"/>
        </w:rPr>
      </w:pPr>
    </w:p>
    <w:p w14:paraId="0B6BA066" w14:textId="77777777" w:rsidR="0003287E" w:rsidRPr="000118AC" w:rsidRDefault="003C633D">
      <w:pPr>
        <w:pStyle w:val="Standard"/>
        <w:jc w:val="right"/>
      </w:pPr>
      <w:r w:rsidRPr="000118AC">
        <w:rPr>
          <w:rFonts w:ascii="標楷體" w:eastAsia="標楷體" w:hAnsi="標楷體" w:cs="標楷體"/>
          <w:bCs/>
          <w:sz w:val="20"/>
          <w:szCs w:val="20"/>
        </w:rPr>
        <w:t xml:space="preserve">                                 </w:t>
      </w:r>
      <w:r w:rsidRPr="000118AC">
        <w:rPr>
          <w:rFonts w:ascii="標楷體" w:eastAsia="標楷體" w:hAnsi="標楷體" w:cs="標楷體"/>
          <w:spacing w:val="-20"/>
          <w:sz w:val="20"/>
          <w:szCs w:val="20"/>
        </w:rPr>
        <w:t>中華民國95年8月18日</w:t>
      </w:r>
      <w:proofErr w:type="gramStart"/>
      <w:r w:rsidRPr="000118AC">
        <w:rPr>
          <w:rFonts w:ascii="標楷體" w:eastAsia="標楷體" w:hAnsi="標楷體" w:cs="標楷體"/>
          <w:spacing w:val="-20"/>
          <w:sz w:val="20"/>
          <w:szCs w:val="20"/>
        </w:rPr>
        <w:t>經計字第09504023090號函訂</w:t>
      </w:r>
      <w:proofErr w:type="gramEnd"/>
      <w:r w:rsidRPr="000118AC">
        <w:rPr>
          <w:rFonts w:ascii="標楷體" w:eastAsia="標楷體" w:hAnsi="標楷體" w:cs="標楷體"/>
          <w:spacing w:val="-20"/>
          <w:sz w:val="20"/>
          <w:szCs w:val="20"/>
        </w:rPr>
        <w:t>頒</w:t>
      </w:r>
    </w:p>
    <w:p w14:paraId="6B6598AE" w14:textId="77777777" w:rsidR="007C27A9" w:rsidRPr="000118AC" w:rsidRDefault="003C633D">
      <w:pPr>
        <w:pStyle w:val="Standard"/>
        <w:jc w:val="right"/>
        <w:rPr>
          <w:rFonts w:ascii="標楷體" w:eastAsia="標楷體" w:hAnsi="標楷體" w:cs="標楷體"/>
          <w:spacing w:val="-20"/>
          <w:sz w:val="20"/>
          <w:szCs w:val="20"/>
        </w:rPr>
      </w:pPr>
      <w:r w:rsidRPr="000118AC">
        <w:rPr>
          <w:rFonts w:ascii="標楷體" w:eastAsia="標楷體" w:hAnsi="標楷體" w:cs="標楷體"/>
          <w:spacing w:val="-20"/>
          <w:sz w:val="20"/>
          <w:szCs w:val="20"/>
        </w:rPr>
        <w:t xml:space="preserve">                                                 中華民國96年4月13日</w:t>
      </w:r>
      <w:proofErr w:type="gramStart"/>
      <w:r w:rsidRPr="000118AC">
        <w:rPr>
          <w:rFonts w:ascii="標楷體" w:eastAsia="標楷體" w:hAnsi="標楷體" w:cs="標楷體"/>
          <w:spacing w:val="-20"/>
          <w:sz w:val="20"/>
          <w:szCs w:val="20"/>
        </w:rPr>
        <w:t>經計字</w:t>
      </w:r>
      <w:proofErr w:type="gramEnd"/>
      <w:r w:rsidRPr="000118AC">
        <w:rPr>
          <w:rFonts w:ascii="標楷體" w:eastAsia="標楷體" w:hAnsi="標楷體" w:cs="標楷體"/>
          <w:spacing w:val="-20"/>
          <w:sz w:val="20"/>
          <w:szCs w:val="20"/>
        </w:rPr>
        <w:t xml:space="preserve">第09604021260號函修正                      </w:t>
      </w:r>
    </w:p>
    <w:p w14:paraId="3AF51244" w14:textId="1ABF90C8" w:rsidR="0003287E" w:rsidRPr="000118AC" w:rsidRDefault="007C27A9">
      <w:pPr>
        <w:pStyle w:val="Standard"/>
        <w:jc w:val="right"/>
      </w:pPr>
      <w:r w:rsidRPr="000118AC">
        <w:rPr>
          <w:rFonts w:ascii="標楷體" w:eastAsia="標楷體" w:hAnsi="標楷體" w:cs="標楷體"/>
          <w:spacing w:val="-20"/>
          <w:sz w:val="20"/>
          <w:szCs w:val="20"/>
        </w:rPr>
        <w:t xml:space="preserve">                                        中華民國</w:t>
      </w:r>
      <w:r w:rsidR="008C2505">
        <w:rPr>
          <w:rFonts w:ascii="標楷體" w:eastAsia="標楷體" w:hAnsi="標楷體" w:cs="標楷體" w:hint="eastAsia"/>
          <w:spacing w:val="-20"/>
          <w:sz w:val="20"/>
          <w:szCs w:val="20"/>
        </w:rPr>
        <w:t>114</w:t>
      </w:r>
      <w:r w:rsidRPr="000118AC">
        <w:rPr>
          <w:rFonts w:ascii="標楷體" w:eastAsia="標楷體" w:hAnsi="標楷體" w:cs="標楷體"/>
          <w:spacing w:val="-20"/>
          <w:sz w:val="20"/>
          <w:szCs w:val="20"/>
        </w:rPr>
        <w:t>年</w:t>
      </w:r>
      <w:r w:rsidR="008C2505">
        <w:rPr>
          <w:rFonts w:ascii="標楷體" w:eastAsia="標楷體" w:hAnsi="標楷體" w:cs="標楷體" w:hint="eastAsia"/>
          <w:spacing w:val="-20"/>
          <w:sz w:val="20"/>
          <w:szCs w:val="20"/>
        </w:rPr>
        <w:t>1</w:t>
      </w:r>
      <w:r w:rsidRPr="000118AC">
        <w:rPr>
          <w:rFonts w:ascii="標楷體" w:eastAsia="標楷體" w:hAnsi="標楷體" w:cs="標楷體"/>
          <w:spacing w:val="-20"/>
          <w:sz w:val="20"/>
          <w:szCs w:val="20"/>
        </w:rPr>
        <w:t>月</w:t>
      </w:r>
      <w:r w:rsidR="008C2505">
        <w:rPr>
          <w:rFonts w:ascii="標楷體" w:eastAsia="標楷體" w:hAnsi="標楷體" w:cs="標楷體" w:hint="eastAsia"/>
          <w:spacing w:val="-20"/>
          <w:sz w:val="20"/>
          <w:szCs w:val="20"/>
        </w:rPr>
        <w:t>8</w:t>
      </w:r>
      <w:r w:rsidRPr="000118AC">
        <w:rPr>
          <w:rFonts w:ascii="標楷體" w:eastAsia="標楷體" w:hAnsi="標楷體" w:cs="標楷體"/>
          <w:spacing w:val="-20"/>
          <w:sz w:val="20"/>
          <w:szCs w:val="20"/>
        </w:rPr>
        <w:t>日</w:t>
      </w:r>
      <w:proofErr w:type="gramStart"/>
      <w:r w:rsidRPr="000118AC">
        <w:rPr>
          <w:rFonts w:ascii="標楷體" w:eastAsia="標楷體" w:hAnsi="標楷體" w:cs="標楷體"/>
          <w:spacing w:val="-20"/>
          <w:sz w:val="20"/>
          <w:szCs w:val="20"/>
        </w:rPr>
        <w:t>經計字</w:t>
      </w:r>
      <w:proofErr w:type="gramEnd"/>
      <w:r w:rsidRPr="000118AC">
        <w:rPr>
          <w:rFonts w:ascii="標楷體" w:eastAsia="標楷體" w:hAnsi="標楷體" w:cs="標楷體"/>
          <w:spacing w:val="-20"/>
          <w:sz w:val="20"/>
          <w:szCs w:val="20"/>
        </w:rPr>
        <w:t>第</w:t>
      </w:r>
      <w:r w:rsidR="00C850EC" w:rsidRPr="00C850EC">
        <w:rPr>
          <w:rFonts w:ascii="標楷體" w:eastAsia="標楷體" w:hAnsi="標楷體" w:cs="標楷體"/>
          <w:spacing w:val="-20"/>
          <w:sz w:val="20"/>
          <w:szCs w:val="20"/>
        </w:rPr>
        <w:t>11407500010</w:t>
      </w:r>
      <w:r w:rsidR="003C0621" w:rsidRPr="000118AC">
        <w:rPr>
          <w:rFonts w:ascii="標楷體" w:eastAsia="標楷體" w:hAnsi="標楷體" w:cs="標楷體" w:hint="eastAsia"/>
          <w:spacing w:val="-20"/>
          <w:sz w:val="20"/>
          <w:szCs w:val="20"/>
        </w:rPr>
        <w:t>號</w:t>
      </w:r>
      <w:r w:rsidRPr="000118AC">
        <w:rPr>
          <w:rFonts w:ascii="標楷體" w:eastAsia="標楷體" w:hAnsi="標楷體" w:cs="標楷體"/>
          <w:spacing w:val="-20"/>
          <w:sz w:val="20"/>
          <w:szCs w:val="20"/>
        </w:rPr>
        <w:t xml:space="preserve">函修正                      </w:t>
      </w:r>
      <w:r w:rsidR="003C633D" w:rsidRPr="000118AC">
        <w:rPr>
          <w:rFonts w:ascii="標楷體" w:eastAsia="標楷體" w:hAnsi="標楷體" w:cs="標楷體"/>
          <w:spacing w:val="-20"/>
          <w:sz w:val="20"/>
          <w:szCs w:val="20"/>
        </w:rPr>
        <w:t xml:space="preserve">                </w:t>
      </w:r>
    </w:p>
    <w:p w14:paraId="66CA90CB" w14:textId="77777777" w:rsidR="0003287E" w:rsidRPr="000118AC" w:rsidRDefault="003C633D">
      <w:pPr>
        <w:pStyle w:val="Standard"/>
        <w:numPr>
          <w:ilvl w:val="0"/>
          <w:numId w:val="6"/>
        </w:numPr>
        <w:rPr>
          <w:rFonts w:ascii="標楷體" w:eastAsia="標楷體" w:hAnsi="標楷體" w:cs="標楷體"/>
          <w:sz w:val="28"/>
        </w:rPr>
      </w:pPr>
      <w:r w:rsidRPr="000118AC">
        <w:rPr>
          <w:rFonts w:ascii="標楷體" w:eastAsia="標楷體" w:hAnsi="標楷體" w:cs="標楷體"/>
          <w:sz w:val="28"/>
        </w:rPr>
        <w:t>經濟部(以下稱本部)為利本部及所屬機關(構)確實依循</w:t>
      </w:r>
      <w:proofErr w:type="gramStart"/>
      <w:r w:rsidRPr="000118AC">
        <w:rPr>
          <w:rFonts w:ascii="標楷體" w:eastAsia="標楷體" w:hAnsi="標楷體" w:cs="標楷體"/>
          <w:sz w:val="28"/>
        </w:rPr>
        <w:t>行政院函頒之</w:t>
      </w:r>
      <w:proofErr w:type="gramEnd"/>
      <w:r w:rsidRPr="000118AC">
        <w:rPr>
          <w:rFonts w:ascii="標楷體" w:eastAsia="標楷體" w:hAnsi="標楷體" w:cs="標楷體"/>
          <w:sz w:val="28"/>
        </w:rPr>
        <w:t>各機關(構)辦理會議及講習訓練改進原則及補充規定辦理國內各類會議及講習訓練，特訂定本作業規定。</w:t>
      </w:r>
    </w:p>
    <w:p w14:paraId="0421B0A3" w14:textId="1489FFB8" w:rsidR="0003287E" w:rsidRPr="000118AC" w:rsidRDefault="003C633D">
      <w:pPr>
        <w:pStyle w:val="Standard"/>
        <w:numPr>
          <w:ilvl w:val="0"/>
          <w:numId w:val="4"/>
        </w:numPr>
        <w:rPr>
          <w:rFonts w:ascii="標楷體" w:eastAsia="標楷體" w:hAnsi="標楷體" w:cs="標楷體"/>
          <w:sz w:val="28"/>
        </w:rPr>
      </w:pPr>
      <w:r w:rsidRPr="000118AC">
        <w:rPr>
          <w:rFonts w:ascii="標楷體" w:eastAsia="標楷體" w:hAnsi="標楷體" w:cs="標楷體"/>
          <w:sz w:val="28"/>
        </w:rPr>
        <w:t>本規定所稱所屬機關(構)，係指本部所屬公務機關、國營事業、非營業特種基金及政府捐助基金達二分之一以上之財團法人。</w:t>
      </w:r>
    </w:p>
    <w:p w14:paraId="0D23FAB5" w14:textId="606098F2" w:rsidR="007C27A9" w:rsidRPr="000118AC" w:rsidRDefault="007C27A9" w:rsidP="007C27A9">
      <w:pPr>
        <w:pStyle w:val="Standard"/>
        <w:ind w:left="720"/>
        <w:rPr>
          <w:rFonts w:ascii="標楷體" w:eastAsia="標楷體" w:hAnsi="標楷體" w:cs="標楷體"/>
          <w:sz w:val="28"/>
        </w:rPr>
      </w:pPr>
      <w:r w:rsidRPr="000118AC">
        <w:rPr>
          <w:rFonts w:ascii="標楷體" w:eastAsia="標楷體" w:hAnsi="標楷體" w:cs="標楷體" w:hint="eastAsia"/>
          <w:sz w:val="28"/>
        </w:rPr>
        <w:t>本部及所屬機關</w:t>
      </w:r>
      <w:r w:rsidR="008C7B0B" w:rsidRPr="000118AC">
        <w:rPr>
          <w:rFonts w:ascii="標楷體" w:eastAsia="標楷體" w:hAnsi="標楷體" w:cs="標楷體" w:hint="eastAsia"/>
          <w:sz w:val="28"/>
        </w:rPr>
        <w:t>(</w:t>
      </w:r>
      <w:r w:rsidRPr="000118AC">
        <w:rPr>
          <w:rFonts w:ascii="標楷體" w:eastAsia="標楷體" w:hAnsi="標楷體" w:cs="標楷體" w:hint="eastAsia"/>
          <w:sz w:val="28"/>
        </w:rPr>
        <w:t>構</w:t>
      </w:r>
      <w:r w:rsidR="008C7B0B" w:rsidRPr="000118AC">
        <w:rPr>
          <w:rFonts w:ascii="標楷體" w:eastAsia="標楷體" w:hAnsi="標楷體" w:cs="標楷體" w:hint="eastAsia"/>
          <w:sz w:val="28"/>
        </w:rPr>
        <w:t>)</w:t>
      </w:r>
      <w:r w:rsidRPr="000118AC">
        <w:rPr>
          <w:rFonts w:ascii="標楷體" w:eastAsia="標楷體" w:hAnsi="標楷體" w:cs="標楷體" w:hint="eastAsia"/>
          <w:sz w:val="28"/>
        </w:rPr>
        <w:t>辦理以中央及地方政府所屬公務機關、公立學校、國營事業、非營業特種基金</w:t>
      </w:r>
      <w:r w:rsidR="005648A1" w:rsidRPr="000118AC">
        <w:rPr>
          <w:rFonts w:ascii="標楷體" w:eastAsia="標楷體" w:hAnsi="標楷體" w:cs="標楷體" w:hint="eastAsia"/>
          <w:sz w:val="28"/>
        </w:rPr>
        <w:t>及</w:t>
      </w:r>
      <w:r w:rsidRPr="000118AC">
        <w:rPr>
          <w:rFonts w:ascii="標楷體" w:eastAsia="標楷體" w:hAnsi="標楷體" w:cs="標楷體" w:hint="eastAsia"/>
          <w:sz w:val="28"/>
        </w:rPr>
        <w:t>政府捐助基金達二分之一以上之財團法人(以下</w:t>
      </w:r>
      <w:r w:rsidR="005648A1" w:rsidRPr="000118AC">
        <w:rPr>
          <w:rFonts w:ascii="標楷體" w:eastAsia="標楷體" w:hAnsi="標楷體" w:cs="標楷體" w:hint="eastAsia"/>
          <w:sz w:val="28"/>
        </w:rPr>
        <w:t>簡</w:t>
      </w:r>
      <w:r w:rsidRPr="000118AC">
        <w:rPr>
          <w:rFonts w:ascii="標楷體" w:eastAsia="標楷體" w:hAnsi="標楷體" w:cs="標楷體" w:hint="eastAsia"/>
          <w:sz w:val="28"/>
        </w:rPr>
        <w:t>稱適用機關【構】)員工為參與對象之會議及講習訓練，應依本規定辦理。</w:t>
      </w:r>
    </w:p>
    <w:p w14:paraId="1B821E7B" w14:textId="3A91114C" w:rsidR="0003287E" w:rsidRPr="000118AC" w:rsidRDefault="003C633D">
      <w:pPr>
        <w:pStyle w:val="Standard"/>
        <w:numPr>
          <w:ilvl w:val="0"/>
          <w:numId w:val="4"/>
        </w:numPr>
        <w:rPr>
          <w:rFonts w:ascii="標楷體" w:eastAsia="標楷體" w:hAnsi="標楷體" w:cs="標楷體"/>
          <w:sz w:val="28"/>
        </w:rPr>
      </w:pPr>
      <w:r w:rsidRPr="000118AC">
        <w:rPr>
          <w:rFonts w:ascii="標楷體" w:eastAsia="標楷體" w:hAnsi="標楷體" w:cs="標楷體"/>
          <w:sz w:val="28"/>
        </w:rPr>
        <w:t>本部及所屬機關(構)</w:t>
      </w:r>
      <w:r w:rsidR="007C27A9" w:rsidRPr="000118AC">
        <w:rPr>
          <w:rFonts w:ascii="標楷體" w:eastAsia="標楷體" w:hAnsi="標楷體" w:cs="標楷體" w:hint="eastAsia"/>
          <w:sz w:val="28"/>
        </w:rPr>
        <w:t>辦理</w:t>
      </w:r>
      <w:r w:rsidRPr="000118AC">
        <w:rPr>
          <w:rFonts w:ascii="標楷體" w:eastAsia="標楷體" w:hAnsi="標楷體" w:cs="標楷體"/>
          <w:sz w:val="28"/>
        </w:rPr>
        <w:t>各項會議及講習訓練，應依業務需要本</w:t>
      </w:r>
      <w:proofErr w:type="gramStart"/>
      <w:r w:rsidRPr="000118AC">
        <w:rPr>
          <w:rFonts w:ascii="標楷體" w:eastAsia="標楷體" w:hAnsi="標楷體" w:cs="標楷體"/>
          <w:sz w:val="28"/>
        </w:rPr>
        <w:t>撙</w:t>
      </w:r>
      <w:proofErr w:type="gramEnd"/>
      <w:r w:rsidRPr="000118AC">
        <w:rPr>
          <w:rFonts w:ascii="標楷體" w:eastAsia="標楷體" w:hAnsi="標楷體" w:cs="標楷體"/>
          <w:sz w:val="28"/>
        </w:rPr>
        <w:t>節原則辦理，其場地之選擇原則如下:</w:t>
      </w:r>
    </w:p>
    <w:p w14:paraId="69D8102D" w14:textId="77777777" w:rsidR="0003287E" w:rsidRPr="000118AC" w:rsidRDefault="003C633D" w:rsidP="000014FC">
      <w:pPr>
        <w:pStyle w:val="a5"/>
        <w:spacing w:line="276" w:lineRule="auto"/>
        <w:ind w:left="993" w:hanging="284"/>
      </w:pPr>
      <w:r w:rsidRPr="000118AC">
        <w:rPr>
          <w:rFonts w:ascii="標楷體" w:hAnsi="標楷體" w:cs="標楷體"/>
          <w:sz w:val="28"/>
        </w:rPr>
        <w:t>(</w:t>
      </w:r>
      <w:proofErr w:type="gramStart"/>
      <w:r w:rsidRPr="000118AC">
        <w:rPr>
          <w:rFonts w:ascii="標楷體" w:hAnsi="標楷體" w:cs="標楷體"/>
          <w:sz w:val="28"/>
        </w:rPr>
        <w:t>一</w:t>
      </w:r>
      <w:proofErr w:type="gramEnd"/>
      <w:r w:rsidRPr="000118AC">
        <w:rPr>
          <w:rFonts w:ascii="標楷體" w:hAnsi="標楷體" w:cs="標楷體"/>
          <w:sz w:val="28"/>
        </w:rPr>
        <w:t>)應以在本機關(構)內部辦理為原則。</w:t>
      </w:r>
    </w:p>
    <w:p w14:paraId="20F170BB" w14:textId="7D124B84" w:rsidR="0003287E" w:rsidRPr="000118AC" w:rsidRDefault="003C633D" w:rsidP="000014FC">
      <w:pPr>
        <w:pStyle w:val="a5"/>
        <w:spacing w:line="276" w:lineRule="auto"/>
        <w:ind w:left="1276" w:hanging="567"/>
      </w:pPr>
      <w:r w:rsidRPr="000118AC">
        <w:rPr>
          <w:rFonts w:ascii="標楷體" w:hAnsi="標楷體" w:cs="標楷體"/>
          <w:sz w:val="28"/>
        </w:rPr>
        <w:t>(二)如確有必要於本機關(構)以外場地辦理時，應先洽借其他公設場地或訓練機關之場地(包括公有委託民營場地及政府捐助基金達二分之一以上之財團法人場地)，並應本</w:t>
      </w:r>
      <w:proofErr w:type="gramStart"/>
      <w:r w:rsidRPr="000118AC">
        <w:rPr>
          <w:rFonts w:ascii="標楷體" w:hAnsi="標楷體" w:cs="標楷體"/>
          <w:sz w:val="28"/>
        </w:rPr>
        <w:t>撙</w:t>
      </w:r>
      <w:proofErr w:type="gramEnd"/>
      <w:r w:rsidRPr="000118AC">
        <w:rPr>
          <w:rFonts w:ascii="標楷體" w:hAnsi="標楷體" w:cs="標楷體"/>
          <w:sz w:val="28"/>
        </w:rPr>
        <w:t>節原則選擇就近場地及在其所</w:t>
      </w:r>
      <w:r w:rsidR="005648A1" w:rsidRPr="000118AC">
        <w:rPr>
          <w:rFonts w:ascii="標楷體" w:hAnsi="標楷體" w:cs="標楷體" w:hint="eastAsia"/>
          <w:sz w:val="28"/>
        </w:rPr>
        <w:t>定</w:t>
      </w:r>
      <w:r w:rsidRPr="000118AC">
        <w:rPr>
          <w:rFonts w:ascii="標楷體" w:hAnsi="標楷體" w:cs="標楷體"/>
          <w:sz w:val="28"/>
        </w:rPr>
        <w:t>一般收費標準內辦理。</w:t>
      </w:r>
    </w:p>
    <w:p w14:paraId="50FD48FB" w14:textId="4099CA4D" w:rsidR="007C27A9" w:rsidRPr="000118AC" w:rsidRDefault="003C633D" w:rsidP="000014FC">
      <w:pPr>
        <w:pStyle w:val="a5"/>
        <w:spacing w:line="400" w:lineRule="exact"/>
        <w:ind w:left="1299" w:hanging="590"/>
        <w:rPr>
          <w:rFonts w:ascii="標楷體" w:hAnsi="標楷體" w:cs="標楷體"/>
          <w:sz w:val="28"/>
        </w:rPr>
      </w:pPr>
      <w:r w:rsidRPr="000118AC">
        <w:rPr>
          <w:rFonts w:ascii="標楷體" w:hAnsi="標楷體" w:cs="標楷體"/>
          <w:sz w:val="28"/>
        </w:rPr>
        <w:t>(三)</w:t>
      </w:r>
      <w:r w:rsidR="007C27A9" w:rsidRPr="000118AC">
        <w:rPr>
          <w:rFonts w:ascii="標楷體" w:hAnsi="標楷體" w:cs="標楷體" w:hint="eastAsia"/>
          <w:sz w:val="28"/>
        </w:rPr>
        <w:t>如確因實際需要而未能在前二款之場地辦理者，其所報支之交通、住宿及膳雜費用，以「國內出差旅費報支要點」</w:t>
      </w:r>
      <w:r w:rsidR="0023734F" w:rsidRPr="000118AC">
        <w:rPr>
          <w:rFonts w:ascii="標楷體" w:hAnsi="標楷體" w:cs="標楷體" w:hint="eastAsia"/>
          <w:sz w:val="28"/>
        </w:rPr>
        <w:t>所定交通費與</w:t>
      </w:r>
      <w:proofErr w:type="gramStart"/>
      <w:r w:rsidR="0023734F" w:rsidRPr="000118AC">
        <w:rPr>
          <w:rFonts w:ascii="標楷體" w:hAnsi="標楷體" w:cs="標楷體" w:hint="eastAsia"/>
          <w:sz w:val="28"/>
        </w:rPr>
        <w:t>住宿費報支</w:t>
      </w:r>
      <w:proofErr w:type="gramEnd"/>
      <w:r w:rsidR="0023734F" w:rsidRPr="000118AC">
        <w:rPr>
          <w:rFonts w:ascii="標楷體" w:hAnsi="標楷體" w:cs="標楷體" w:hint="eastAsia"/>
          <w:sz w:val="28"/>
        </w:rPr>
        <w:t>數額及膳雜費不分官等每人每日一千元之核算總額為上限，</w:t>
      </w:r>
      <w:r w:rsidR="007C27A9" w:rsidRPr="000118AC">
        <w:rPr>
          <w:rFonts w:ascii="標楷體" w:hAnsi="標楷體" w:cs="標楷體" w:hint="eastAsia"/>
          <w:sz w:val="28"/>
        </w:rPr>
        <w:t>並應具體敘明實際需要未能在前二款場地辦理理由，</w:t>
      </w:r>
      <w:proofErr w:type="gramStart"/>
      <w:r w:rsidR="007C27A9" w:rsidRPr="000118AC">
        <w:rPr>
          <w:rFonts w:ascii="標楷體" w:hAnsi="標楷體" w:cs="標楷體" w:hint="eastAsia"/>
          <w:sz w:val="28"/>
        </w:rPr>
        <w:t>以供審</w:t>
      </w:r>
      <w:proofErr w:type="gramEnd"/>
      <w:r w:rsidR="007C27A9" w:rsidRPr="000118AC">
        <w:rPr>
          <w:rFonts w:ascii="標楷體" w:hAnsi="標楷體" w:cs="標楷體" w:hint="eastAsia"/>
          <w:sz w:val="28"/>
        </w:rPr>
        <w:t>(查)核。</w:t>
      </w:r>
    </w:p>
    <w:p w14:paraId="3475F219" w14:textId="77777777" w:rsidR="0003287E" w:rsidRPr="000118AC" w:rsidRDefault="003C633D">
      <w:pPr>
        <w:pStyle w:val="Standard"/>
        <w:numPr>
          <w:ilvl w:val="0"/>
          <w:numId w:val="4"/>
        </w:numPr>
        <w:rPr>
          <w:rFonts w:ascii="標楷體" w:eastAsia="標楷體" w:hAnsi="標楷體" w:cs="標楷體"/>
          <w:sz w:val="28"/>
        </w:rPr>
      </w:pPr>
      <w:r w:rsidRPr="000118AC">
        <w:rPr>
          <w:rFonts w:ascii="標楷體" w:eastAsia="標楷體" w:hAnsi="標楷體" w:cs="標楷體"/>
          <w:sz w:val="28"/>
        </w:rPr>
        <w:t>各項會議講習訓練之課程與活動之規劃與安排，應符合辦理目的，不得過於鬆散或安排與主題無直接關聯之項目。</w:t>
      </w:r>
    </w:p>
    <w:p w14:paraId="2BD57BA8" w14:textId="77777777" w:rsidR="0003287E" w:rsidRPr="000118AC" w:rsidRDefault="003C633D">
      <w:pPr>
        <w:pStyle w:val="Standard"/>
        <w:numPr>
          <w:ilvl w:val="0"/>
          <w:numId w:val="4"/>
        </w:numPr>
        <w:rPr>
          <w:rFonts w:ascii="標楷體" w:eastAsia="標楷體" w:hAnsi="標楷體" w:cs="標楷體"/>
          <w:sz w:val="28"/>
        </w:rPr>
      </w:pPr>
      <w:r w:rsidRPr="000118AC">
        <w:rPr>
          <w:rFonts w:ascii="標楷體" w:eastAsia="標楷體" w:hAnsi="標楷體" w:cs="標楷體"/>
          <w:sz w:val="28"/>
        </w:rPr>
        <w:t>除必要頒發之獎品外，不得購買紀念(禮)品或宣導品贈與參加人員，亦不得攜</w:t>
      </w:r>
      <w:proofErr w:type="gramStart"/>
      <w:r w:rsidRPr="000118AC">
        <w:rPr>
          <w:rFonts w:ascii="標楷體" w:eastAsia="標楷體" w:hAnsi="標楷體" w:cs="標楷體"/>
          <w:sz w:val="28"/>
        </w:rPr>
        <w:t>眷</w:t>
      </w:r>
      <w:proofErr w:type="gramEnd"/>
      <w:r w:rsidRPr="000118AC">
        <w:rPr>
          <w:rFonts w:ascii="標楷體" w:eastAsia="標楷體" w:hAnsi="標楷體" w:cs="標楷體"/>
          <w:sz w:val="28"/>
        </w:rPr>
        <w:t>參加。但一般文宣資料不在此限。</w:t>
      </w:r>
    </w:p>
    <w:p w14:paraId="37F595F4" w14:textId="21200BAE" w:rsidR="0003287E" w:rsidRPr="000118AC" w:rsidRDefault="003C633D">
      <w:pPr>
        <w:pStyle w:val="Standard"/>
        <w:numPr>
          <w:ilvl w:val="0"/>
          <w:numId w:val="4"/>
        </w:numPr>
        <w:jc w:val="both"/>
        <w:rPr>
          <w:rFonts w:ascii="標楷體" w:eastAsia="標楷體" w:hAnsi="標楷體" w:cs="標楷體"/>
          <w:sz w:val="28"/>
        </w:rPr>
      </w:pPr>
      <w:r w:rsidRPr="000118AC">
        <w:rPr>
          <w:rFonts w:ascii="標楷體" w:eastAsia="標楷體" w:hAnsi="標楷體" w:cs="標楷體"/>
          <w:sz w:val="28"/>
        </w:rPr>
        <w:t>屬於國際性或應業務需要辦理各類會議及講習訓練，其對象如有</w:t>
      </w:r>
      <w:r w:rsidR="007C27A9" w:rsidRPr="000118AC">
        <w:rPr>
          <w:rFonts w:ascii="標楷體" w:eastAsia="標楷體" w:hAnsi="標楷體" w:cs="標楷體" w:hint="eastAsia"/>
          <w:sz w:val="28"/>
        </w:rPr>
        <w:t>適用機關(構)</w:t>
      </w:r>
      <w:r w:rsidRPr="000118AC">
        <w:rPr>
          <w:rFonts w:ascii="標楷體" w:eastAsia="標楷體" w:hAnsi="標楷體" w:cs="標楷體"/>
          <w:sz w:val="28"/>
        </w:rPr>
        <w:t>員工以外之人士，確有需要而無法依上開規定或標準辦理者，應本</w:t>
      </w:r>
      <w:proofErr w:type="gramStart"/>
      <w:r w:rsidRPr="000118AC">
        <w:rPr>
          <w:rFonts w:ascii="標楷體" w:eastAsia="標楷體" w:hAnsi="標楷體" w:cs="標楷體"/>
          <w:sz w:val="28"/>
        </w:rPr>
        <w:t>撙</w:t>
      </w:r>
      <w:proofErr w:type="gramEnd"/>
      <w:r w:rsidRPr="000118AC">
        <w:rPr>
          <w:rFonts w:ascii="標楷體" w:eastAsia="標楷體" w:hAnsi="標楷體" w:cs="標楷體"/>
          <w:sz w:val="28"/>
        </w:rPr>
        <w:t>節原則，並應提供下列資料，陳報本部核准後始得辦理。</w:t>
      </w:r>
    </w:p>
    <w:p w14:paraId="638674C6" w14:textId="77777777" w:rsidR="0003287E" w:rsidRPr="000118AC" w:rsidRDefault="003C633D" w:rsidP="000014FC">
      <w:pPr>
        <w:pStyle w:val="a5"/>
        <w:spacing w:line="400" w:lineRule="exact"/>
        <w:ind w:left="1299" w:hanging="590"/>
        <w:rPr>
          <w:rFonts w:ascii="標楷體" w:hAnsi="標楷體" w:cs="標楷體"/>
          <w:sz w:val="28"/>
        </w:rPr>
      </w:pPr>
      <w:r w:rsidRPr="000118AC">
        <w:rPr>
          <w:rFonts w:ascii="標楷體" w:hAnsi="標楷體" w:cs="標楷體"/>
          <w:sz w:val="28"/>
        </w:rPr>
        <w:t>(</w:t>
      </w:r>
      <w:proofErr w:type="gramStart"/>
      <w:r w:rsidRPr="000118AC">
        <w:rPr>
          <w:rFonts w:ascii="標楷體" w:hAnsi="標楷體" w:cs="標楷體"/>
          <w:sz w:val="28"/>
        </w:rPr>
        <w:t>一</w:t>
      </w:r>
      <w:proofErr w:type="gramEnd"/>
      <w:r w:rsidRPr="000118AC">
        <w:rPr>
          <w:rFonts w:ascii="標楷體" w:hAnsi="標楷體" w:cs="標楷體"/>
          <w:sz w:val="28"/>
        </w:rPr>
        <w:t>)無法符合規定之特殊理由。</w:t>
      </w:r>
    </w:p>
    <w:p w14:paraId="383AC68B" w14:textId="77777777" w:rsidR="0003287E" w:rsidRPr="000118AC" w:rsidRDefault="003C633D" w:rsidP="000014FC">
      <w:pPr>
        <w:pStyle w:val="a5"/>
        <w:spacing w:line="400" w:lineRule="exact"/>
        <w:ind w:left="1299" w:hanging="590"/>
        <w:rPr>
          <w:rFonts w:ascii="標楷體" w:hAnsi="標楷體" w:cs="標楷體"/>
          <w:sz w:val="28"/>
        </w:rPr>
      </w:pPr>
      <w:r w:rsidRPr="000118AC">
        <w:rPr>
          <w:rFonts w:ascii="標楷體" w:hAnsi="標楷體" w:cs="標楷體"/>
          <w:sz w:val="28"/>
        </w:rPr>
        <w:t>(二)辦理活動性質、參加對象。</w:t>
      </w:r>
    </w:p>
    <w:p w14:paraId="41DF8A94" w14:textId="3D5081FB" w:rsidR="0003287E" w:rsidRPr="000118AC" w:rsidRDefault="007C27A9" w:rsidP="000014FC">
      <w:pPr>
        <w:pStyle w:val="a5"/>
        <w:spacing w:line="400" w:lineRule="exact"/>
        <w:ind w:left="1299" w:hanging="590"/>
        <w:rPr>
          <w:rFonts w:ascii="標楷體" w:hAnsi="標楷體" w:cs="標楷體"/>
          <w:sz w:val="28"/>
        </w:rPr>
      </w:pPr>
      <w:r w:rsidRPr="000118AC">
        <w:rPr>
          <w:rFonts w:ascii="標楷體" w:hAnsi="標楷體" w:cs="標楷體"/>
          <w:sz w:val="28"/>
        </w:rPr>
        <w:lastRenderedPageBreak/>
        <w:t>(三)</w:t>
      </w:r>
      <w:r w:rsidR="003C633D" w:rsidRPr="000118AC">
        <w:rPr>
          <w:rFonts w:ascii="標楷體" w:hAnsi="標楷體" w:cs="標楷體"/>
          <w:sz w:val="28"/>
        </w:rPr>
        <w:t>如係場地、食宿或交通費無法符合規定，另應提供場地、食宿、交通選擇評估之分析情形;如需購買紀念(禮)品、宣導品，應</w:t>
      </w:r>
      <w:proofErr w:type="gramStart"/>
      <w:r w:rsidR="003C633D" w:rsidRPr="000118AC">
        <w:rPr>
          <w:rFonts w:ascii="標楷體" w:hAnsi="標楷體" w:cs="標楷體"/>
          <w:sz w:val="28"/>
        </w:rPr>
        <w:t>敘明需發放</w:t>
      </w:r>
      <w:proofErr w:type="gramEnd"/>
      <w:r w:rsidR="003C633D" w:rsidRPr="000118AC">
        <w:rPr>
          <w:rFonts w:ascii="標楷體" w:hAnsi="標楷體" w:cs="標楷體"/>
          <w:sz w:val="28"/>
        </w:rPr>
        <w:t>之必要性，且宣導品應與宣導主題有直接關聯。</w:t>
      </w:r>
    </w:p>
    <w:p w14:paraId="37D41F91" w14:textId="77777777" w:rsidR="0003287E" w:rsidRPr="000118AC" w:rsidRDefault="003C633D">
      <w:pPr>
        <w:pStyle w:val="Standard"/>
        <w:numPr>
          <w:ilvl w:val="0"/>
          <w:numId w:val="4"/>
        </w:numPr>
      </w:pPr>
      <w:r w:rsidRPr="000118AC">
        <w:rPr>
          <w:rFonts w:ascii="標楷體" w:eastAsia="標楷體" w:hAnsi="標楷體" w:cs="標楷體"/>
          <w:sz w:val="28"/>
        </w:rPr>
        <w:t>各幕僚單位主管及所屬機關(構)首長對於擬依前點規定陳報本部核准案件，應先確實</w:t>
      </w:r>
      <w:proofErr w:type="gramStart"/>
      <w:r w:rsidRPr="000118AC">
        <w:rPr>
          <w:rFonts w:ascii="標楷體" w:eastAsia="標楷體" w:hAnsi="標楷體" w:cs="標楷體"/>
          <w:sz w:val="28"/>
        </w:rPr>
        <w:t>逐案嚴加</w:t>
      </w:r>
      <w:proofErr w:type="gramEnd"/>
      <w:r w:rsidRPr="000118AC">
        <w:rPr>
          <w:rFonts w:ascii="標楷體" w:eastAsia="標楷體" w:hAnsi="標楷體" w:cs="標楷體"/>
          <w:sz w:val="28"/>
        </w:rPr>
        <w:t>審核其必要性及經費支用是否符合</w:t>
      </w:r>
      <w:proofErr w:type="gramStart"/>
      <w:r w:rsidRPr="000118AC">
        <w:rPr>
          <w:rFonts w:ascii="標楷體" w:eastAsia="標楷體" w:hAnsi="標楷體" w:cs="標楷體"/>
          <w:sz w:val="28"/>
        </w:rPr>
        <w:t>撙</w:t>
      </w:r>
      <w:proofErr w:type="gramEnd"/>
      <w:r w:rsidRPr="000118AC">
        <w:rPr>
          <w:rFonts w:ascii="標楷體" w:eastAsia="標楷體" w:hAnsi="標楷體" w:cs="標楷體"/>
          <w:sz w:val="28"/>
        </w:rPr>
        <w:t>節原則。</w:t>
      </w:r>
    </w:p>
    <w:p w14:paraId="52CF2D20" w14:textId="744DF0B9" w:rsidR="007C27A9" w:rsidRPr="000118AC" w:rsidRDefault="007C27A9" w:rsidP="007C27A9">
      <w:pPr>
        <w:pStyle w:val="Standard"/>
        <w:numPr>
          <w:ilvl w:val="0"/>
          <w:numId w:val="4"/>
        </w:numPr>
        <w:rPr>
          <w:rFonts w:ascii="標楷體" w:eastAsia="標楷體" w:hAnsi="標楷體" w:cs="標楷體"/>
          <w:sz w:val="28"/>
        </w:rPr>
      </w:pPr>
      <w:r w:rsidRPr="000118AC">
        <w:rPr>
          <w:rFonts w:ascii="標楷體" w:eastAsia="標楷體" w:hAnsi="標楷體" w:cs="標楷體" w:hint="eastAsia"/>
          <w:sz w:val="28"/>
        </w:rPr>
        <w:t>依第六點</w:t>
      </w:r>
      <w:proofErr w:type="gramStart"/>
      <w:r w:rsidRPr="000118AC">
        <w:rPr>
          <w:rFonts w:ascii="標楷體" w:eastAsia="標楷體" w:hAnsi="標楷體" w:cs="標楷體" w:hint="eastAsia"/>
          <w:sz w:val="28"/>
        </w:rPr>
        <w:t>規定須陳報</w:t>
      </w:r>
      <w:proofErr w:type="gramEnd"/>
      <w:r w:rsidRPr="000118AC">
        <w:rPr>
          <w:rFonts w:ascii="標楷體" w:eastAsia="標楷體" w:hAnsi="標楷體" w:cs="標楷體" w:hint="eastAsia"/>
          <w:sz w:val="28"/>
        </w:rPr>
        <w:t>本部核准之原則如下：</w:t>
      </w:r>
    </w:p>
    <w:p w14:paraId="6D18D121" w14:textId="5FB0717C" w:rsidR="007C27A9" w:rsidRPr="000118AC" w:rsidRDefault="007C27A9" w:rsidP="000014FC">
      <w:pPr>
        <w:pStyle w:val="a5"/>
        <w:spacing w:line="400" w:lineRule="exact"/>
        <w:ind w:left="1299" w:hanging="590"/>
        <w:rPr>
          <w:rFonts w:ascii="標楷體" w:hAnsi="標楷體" w:cs="標楷體"/>
          <w:sz w:val="28"/>
        </w:rPr>
      </w:pPr>
      <w:r w:rsidRPr="000118AC">
        <w:rPr>
          <w:rFonts w:ascii="標楷體" w:hAnsi="標楷體" w:cs="標楷體"/>
          <w:sz w:val="28"/>
        </w:rPr>
        <w:t>(</w:t>
      </w:r>
      <w:proofErr w:type="gramStart"/>
      <w:r w:rsidRPr="000118AC">
        <w:rPr>
          <w:rFonts w:ascii="標楷體" w:hAnsi="標楷體" w:cs="標楷體" w:hint="eastAsia"/>
          <w:sz w:val="28"/>
        </w:rPr>
        <w:t>一</w:t>
      </w:r>
      <w:proofErr w:type="gramEnd"/>
      <w:r w:rsidRPr="000118AC">
        <w:rPr>
          <w:rFonts w:ascii="標楷體" w:hAnsi="標楷體" w:cs="標楷體"/>
          <w:sz w:val="28"/>
        </w:rPr>
        <w:t>)</w:t>
      </w:r>
      <w:r w:rsidRPr="000118AC">
        <w:rPr>
          <w:rFonts w:ascii="標楷體" w:hAnsi="標楷體" w:cs="標楷體" w:hint="eastAsia"/>
          <w:sz w:val="28"/>
        </w:rPr>
        <w:t>本部幕僚單位得視其案件多寡彙整或個案簽陳部次長核准。</w:t>
      </w:r>
    </w:p>
    <w:p w14:paraId="0D65A22D" w14:textId="63683BCB" w:rsidR="007C27A9" w:rsidRPr="000118AC" w:rsidRDefault="007C27A9" w:rsidP="000014FC">
      <w:pPr>
        <w:pStyle w:val="a5"/>
        <w:spacing w:line="400" w:lineRule="exact"/>
        <w:ind w:left="1299" w:hanging="590"/>
        <w:rPr>
          <w:rFonts w:ascii="標楷體" w:hAnsi="標楷體" w:cs="標楷體"/>
          <w:sz w:val="28"/>
        </w:rPr>
      </w:pPr>
      <w:r w:rsidRPr="000118AC">
        <w:rPr>
          <w:rFonts w:ascii="標楷體" w:hAnsi="標楷體" w:cs="標楷體"/>
          <w:sz w:val="28"/>
        </w:rPr>
        <w:t>(</w:t>
      </w:r>
      <w:r w:rsidRPr="000118AC">
        <w:rPr>
          <w:rFonts w:ascii="標楷體" w:hAnsi="標楷體" w:cs="標楷體" w:hint="eastAsia"/>
          <w:sz w:val="28"/>
        </w:rPr>
        <w:t>二</w:t>
      </w:r>
      <w:r w:rsidRPr="000118AC">
        <w:rPr>
          <w:rFonts w:ascii="標楷體" w:hAnsi="標楷體" w:cs="標楷體"/>
          <w:sz w:val="28"/>
        </w:rPr>
        <w:t>)</w:t>
      </w:r>
      <w:r w:rsidRPr="000118AC">
        <w:rPr>
          <w:rFonts w:ascii="標楷體" w:hAnsi="標楷體" w:cs="標楷體" w:hint="eastAsia"/>
          <w:sz w:val="28"/>
        </w:rPr>
        <w:t>本部所屬公務機關及非營業特種基金除臨時急需辦理之會議或講習訓練得另案</w:t>
      </w:r>
      <w:proofErr w:type="gramStart"/>
      <w:r w:rsidRPr="000118AC">
        <w:rPr>
          <w:rFonts w:ascii="標楷體" w:hAnsi="標楷體" w:cs="標楷體" w:hint="eastAsia"/>
          <w:sz w:val="28"/>
        </w:rPr>
        <w:t>簽陳外</w:t>
      </w:r>
      <w:proofErr w:type="gramEnd"/>
      <w:r w:rsidRPr="000118AC">
        <w:rPr>
          <w:rFonts w:ascii="標楷體" w:hAnsi="標楷體" w:cs="標楷體" w:hint="eastAsia"/>
          <w:sz w:val="28"/>
        </w:rPr>
        <w:t>，應按</w:t>
      </w:r>
      <w:proofErr w:type="gramStart"/>
      <w:r w:rsidRPr="000118AC">
        <w:rPr>
          <w:rFonts w:ascii="標楷體" w:hAnsi="標楷體" w:cs="標楷體" w:hint="eastAsia"/>
          <w:sz w:val="28"/>
        </w:rPr>
        <w:t>季彙整於</w:t>
      </w:r>
      <w:proofErr w:type="gramEnd"/>
      <w:r w:rsidRPr="000118AC">
        <w:rPr>
          <w:rFonts w:ascii="標楷體" w:hAnsi="標楷體" w:cs="標楷體" w:hint="eastAsia"/>
          <w:sz w:val="28"/>
        </w:rPr>
        <w:t>每季開始前二十天送達，已知未來將舉辦之會議或講習訓練，亦得提前彙總簽陳部次長核准。</w:t>
      </w:r>
    </w:p>
    <w:p w14:paraId="5D54B877" w14:textId="4BE550FB" w:rsidR="007C27A9" w:rsidRPr="000118AC" w:rsidRDefault="007C27A9" w:rsidP="000014FC">
      <w:pPr>
        <w:pStyle w:val="a5"/>
        <w:spacing w:line="400" w:lineRule="exact"/>
        <w:ind w:left="1299" w:hanging="590"/>
        <w:rPr>
          <w:rFonts w:ascii="標楷體" w:hAnsi="標楷體" w:cs="標楷體"/>
          <w:sz w:val="28"/>
        </w:rPr>
      </w:pPr>
      <w:r w:rsidRPr="000118AC">
        <w:rPr>
          <w:rFonts w:ascii="標楷體" w:hAnsi="標楷體" w:cs="標楷體"/>
          <w:sz w:val="28"/>
        </w:rPr>
        <w:t>(三)</w:t>
      </w:r>
      <w:r w:rsidRPr="000118AC">
        <w:rPr>
          <w:rFonts w:ascii="標楷體" w:hAnsi="標楷體" w:cs="標楷體" w:hint="eastAsia"/>
          <w:sz w:val="28"/>
        </w:rPr>
        <w:t>本部所屬國營事業及政府捐助基金達二分之一以上之財團法人，依前款時限陳報本部，分別由本部國營事業管理司及「經濟部監督管理財團法人業務分工原則」所定之業務主管單位審核辦理。</w:t>
      </w:r>
    </w:p>
    <w:p w14:paraId="26EA393A" w14:textId="1F7C858B" w:rsidR="0003287E" w:rsidRPr="000118AC" w:rsidRDefault="003C633D">
      <w:pPr>
        <w:pStyle w:val="Standard"/>
        <w:numPr>
          <w:ilvl w:val="0"/>
          <w:numId w:val="4"/>
        </w:numPr>
        <w:jc w:val="both"/>
        <w:rPr>
          <w:rFonts w:ascii="標楷體" w:eastAsia="標楷體" w:hAnsi="標楷體" w:cs="標楷體"/>
          <w:sz w:val="28"/>
        </w:rPr>
      </w:pPr>
      <w:r w:rsidRPr="000118AC">
        <w:rPr>
          <w:rFonts w:ascii="標楷體" w:eastAsia="標楷體" w:hAnsi="標楷體" w:cs="標楷體"/>
          <w:sz w:val="28"/>
        </w:rPr>
        <w:t>各幕僚單位或所屬機關(構)應依以上規定核給各項委辦或捐助計畫所辦理之會議及講習訓練經費，並要求受委辦或捐助單位執行時，應就委辦或捐助經費負擔之範圍，比照本作業規定辦理。</w:t>
      </w:r>
    </w:p>
    <w:p w14:paraId="071BE90C" w14:textId="41E7FF83" w:rsidR="007C27A9" w:rsidRPr="000118AC" w:rsidRDefault="007C27A9">
      <w:pPr>
        <w:pStyle w:val="Standard"/>
        <w:numPr>
          <w:ilvl w:val="0"/>
          <w:numId w:val="4"/>
        </w:numPr>
        <w:jc w:val="both"/>
        <w:rPr>
          <w:rFonts w:ascii="標楷體" w:eastAsia="標楷體" w:hAnsi="標楷體" w:cs="標楷體"/>
          <w:sz w:val="28"/>
        </w:rPr>
      </w:pPr>
      <w:r w:rsidRPr="000118AC">
        <w:rPr>
          <w:rFonts w:ascii="標楷體" w:eastAsia="標楷體" w:hAnsi="標楷體" w:cs="標楷體" w:hint="eastAsia"/>
          <w:sz w:val="28"/>
        </w:rPr>
        <w:t>本部及所屬機關(構)接受非屬適用機關(構)經費辦理各類會議及講習訓練，得就該經費範圍內不適用上開規定。</w:t>
      </w:r>
    </w:p>
    <w:p w14:paraId="21F6E7CC" w14:textId="77777777" w:rsidR="0003287E" w:rsidRDefault="003C633D">
      <w:pPr>
        <w:pStyle w:val="Standard"/>
        <w:jc w:val="both"/>
      </w:pPr>
      <w:r w:rsidRPr="000118AC">
        <w:rPr>
          <w:rFonts w:ascii="標楷體" w:eastAsia="標楷體" w:hAnsi="標楷體" w:cs="標楷體"/>
          <w:sz w:val="28"/>
        </w:rPr>
        <w:t>十一、各幕僚單位主管或所屬機關(構)首長應負督導之責。</w:t>
      </w:r>
    </w:p>
    <w:sectPr w:rsidR="0003287E" w:rsidSect="008C2505">
      <w:pgSz w:w="11906" w:h="16838"/>
      <w:pgMar w:top="1440" w:right="1644" w:bottom="1440" w:left="16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BB1A6" w14:textId="77777777" w:rsidR="007940D1" w:rsidRDefault="007940D1">
      <w:r>
        <w:separator/>
      </w:r>
    </w:p>
  </w:endnote>
  <w:endnote w:type="continuationSeparator" w:id="0">
    <w:p w14:paraId="309D7C4A" w14:textId="77777777" w:rsidR="007940D1" w:rsidRDefault="0079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新細明體, PMingLiU">
    <w:altName w:val="新細明體"/>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AC000" w14:textId="77777777" w:rsidR="007940D1" w:rsidRDefault="007940D1">
      <w:r>
        <w:rPr>
          <w:color w:val="000000"/>
        </w:rPr>
        <w:separator/>
      </w:r>
    </w:p>
  </w:footnote>
  <w:footnote w:type="continuationSeparator" w:id="0">
    <w:p w14:paraId="4B803F6C" w14:textId="77777777" w:rsidR="007940D1" w:rsidRDefault="00794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C3B8A"/>
    <w:multiLevelType w:val="multilevel"/>
    <w:tmpl w:val="C8863EEA"/>
    <w:styleLink w:val="WW8Num4"/>
    <w:lvl w:ilvl="0">
      <w:start w:val="1"/>
      <w:numFmt w:val="japaneseCounting"/>
      <w:lvlText w:val="%1、"/>
      <w:lvlJc w:val="left"/>
      <w:pPr>
        <w:ind w:left="720" w:hanging="720"/>
      </w:pPr>
      <w:rPr>
        <w:rFonts w:ascii="標楷體" w:eastAsia="標楷體" w:hAnsi="標楷體" w:cs="標楷體"/>
        <w:kern w:val="3"/>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A227CCB"/>
    <w:multiLevelType w:val="multilevel"/>
    <w:tmpl w:val="8DD46652"/>
    <w:styleLink w:val="WW8Num1"/>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42E45737"/>
    <w:multiLevelType w:val="multilevel"/>
    <w:tmpl w:val="5E125A5E"/>
    <w:styleLink w:val="WW8Num3"/>
    <w:lvl w:ilvl="0">
      <w:start w:val="4"/>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68AE2A03"/>
    <w:multiLevelType w:val="multilevel"/>
    <w:tmpl w:val="D70C9BA4"/>
    <w:styleLink w:val="WW8Num2"/>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7A764C8C"/>
    <w:multiLevelType w:val="multilevel"/>
    <w:tmpl w:val="C3ECEA3E"/>
    <w:styleLink w:val="WW8Num5"/>
    <w:lvl w:ilvl="0">
      <w:start w:val="1"/>
      <w:numFmt w:val="japaneseCounting"/>
      <w:suff w:val="nothing"/>
      <w:lvlText w:val="%1、"/>
      <w:lvlJc w:val="left"/>
      <w:pPr>
        <w:ind w:left="953" w:hanging="641"/>
      </w:pPr>
      <w:rPr>
        <w:rFonts w:ascii="Times New Roman" w:eastAsia="標楷體" w:hAnsi="Times New Roman" w:cs="Times New Roman"/>
        <w:b w:val="0"/>
        <w:i w:val="0"/>
        <w:caps w:val="0"/>
        <w:smallCaps w:val="0"/>
        <w:strike w:val="0"/>
        <w:dstrike w:val="0"/>
        <w:outline w:val="0"/>
        <w:vanish w:val="0"/>
        <w:color w:val="000000"/>
        <w:position w:val="0"/>
        <w:sz w:val="32"/>
        <w:u w:val="none"/>
        <w:vertAlign w:val="baseline"/>
        <w:em w:val="none"/>
        <w14:shadow w14:blurRad="0" w14:dist="0" w14:dir="0" w14:sx="0" w14:sy="0" w14:kx="0" w14:ky="0" w14:algn="none">
          <w14:srgbClr w14:val="000000"/>
        </w14:shadow>
      </w:rPr>
    </w:lvl>
    <w:lvl w:ilvl="1">
      <w:start w:val="1"/>
      <w:numFmt w:val="japaneseCounting"/>
      <w:suff w:val="nothing"/>
      <w:lvlText w:val="(%2)"/>
      <w:lvlJc w:val="left"/>
      <w:pPr>
        <w:ind w:left="1276" w:hanging="539"/>
      </w:pPr>
      <w:rPr>
        <w:rFonts w:ascii="Times New Roman" w:eastAsia="標楷體" w:hAnsi="Times New Roman" w:cs="Times New Roman"/>
        <w:b w:val="0"/>
        <w:i w:val="0"/>
        <w:caps w:val="0"/>
        <w:smallCaps w:val="0"/>
        <w:strike w:val="0"/>
        <w:dstrike w:val="0"/>
        <w:outline w:val="0"/>
        <w:vanish w:val="0"/>
        <w:color w:val="000000"/>
        <w:position w:val="0"/>
        <w:sz w:val="32"/>
        <w:u w:val="none"/>
        <w:vertAlign w:val="baseline"/>
        <w:em w:val="none"/>
        <w14:shadow w14:blurRad="0" w14:dist="0" w14:dir="0" w14:sx="0" w14:sy="0" w14:kx="0" w14:ky="0" w14:algn="none">
          <w14:srgbClr w14:val="000000"/>
        </w14:shadow>
      </w:rPr>
    </w:lvl>
    <w:lvl w:ilvl="2">
      <w:start w:val="1"/>
      <w:numFmt w:val="decimal"/>
      <w:suff w:val="nothing"/>
      <w:lvlText w:val="%3、"/>
      <w:lvlJc w:val="left"/>
      <w:pPr>
        <w:ind w:left="1605" w:hanging="641"/>
      </w:pPr>
      <w:rPr>
        <w:rFonts w:ascii="Times New Roman" w:eastAsia="標楷體" w:hAnsi="Times New Roman" w:cs="Times New Roman"/>
        <w:b w:val="0"/>
        <w:i w:val="0"/>
        <w:caps w:val="0"/>
        <w:smallCaps w:val="0"/>
        <w:strike w:val="0"/>
        <w:dstrike w:val="0"/>
        <w:outline w:val="0"/>
        <w:vanish w:val="0"/>
        <w:color w:val="000000"/>
        <w:position w:val="0"/>
        <w:sz w:val="32"/>
        <w:u w:val="none"/>
        <w:vertAlign w:val="baseline"/>
        <w:em w:val="none"/>
        <w14:shadow w14:blurRad="0" w14:dist="0" w14:dir="0" w14:sx="0" w14:sy="0" w14:kx="0" w14:ky="0" w14:algn="none">
          <w14:srgbClr w14:val="000000"/>
        </w14:shadow>
      </w:rPr>
    </w:lvl>
    <w:lvl w:ilvl="3">
      <w:start w:val="1"/>
      <w:numFmt w:val="decimal"/>
      <w:suff w:val="nothing"/>
      <w:lvlText w:val="(%4)"/>
      <w:lvlJc w:val="left"/>
      <w:pPr>
        <w:ind w:left="1928" w:hanging="545"/>
      </w:pPr>
      <w:rPr>
        <w:rFonts w:ascii="Times New Roman" w:eastAsia="標楷體" w:hAnsi="Times New Roman" w:cs="Times New Roman"/>
        <w:b w:val="0"/>
        <w:i w:val="0"/>
        <w:caps w:val="0"/>
        <w:smallCaps w:val="0"/>
        <w:strike w:val="0"/>
        <w:dstrike w:val="0"/>
        <w:outline w:val="0"/>
        <w:vanish w:val="0"/>
        <w:color w:val="000000"/>
        <w:position w:val="0"/>
        <w:sz w:val="32"/>
        <w:u w:val="none"/>
        <w:vertAlign w:val="baseline"/>
        <w:em w:val="none"/>
        <w14:shadow w14:blurRad="0" w14:dist="0" w14:dir="0" w14:sx="0" w14:sy="0" w14:kx="0" w14:ky="0" w14:algn="none">
          <w14:srgbClr w14:val="000000"/>
        </w14:shadow>
      </w:rPr>
    </w:lvl>
    <w:lvl w:ilvl="4">
      <w:start w:val="1"/>
      <w:numFmt w:val="ideographTraditional"/>
      <w:suff w:val="nothing"/>
      <w:lvlText w:val="%5、"/>
      <w:lvlJc w:val="left"/>
      <w:pPr>
        <w:ind w:left="2240" w:hanging="635"/>
      </w:pPr>
      <w:rPr>
        <w:rFonts w:ascii="Times New Roman" w:eastAsia="標楷體" w:hAnsi="Times New Roman" w:cs="Times New Roman"/>
        <w:b w:val="0"/>
        <w:i w:val="0"/>
        <w:color w:val="000000"/>
        <w:sz w:val="32"/>
        <w:u w:val="none"/>
        <w:em w:val="none"/>
      </w:rPr>
    </w:lvl>
    <w:lvl w:ilvl="5">
      <w:start w:val="1"/>
      <w:numFmt w:val="none"/>
      <w:lvlText w:val="%6"/>
      <w:lvlJc w:val="left"/>
      <w:pPr>
        <w:ind w:left="3260" w:hanging="1134"/>
      </w:p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num w:numId="1">
    <w:abstractNumId w:val="1"/>
  </w:num>
  <w:num w:numId="2">
    <w:abstractNumId w:val="3"/>
  </w:num>
  <w:num w:numId="3">
    <w:abstractNumId w:val="2"/>
  </w:num>
  <w:num w:numId="4">
    <w:abstractNumId w:val="0"/>
  </w:num>
  <w:num w:numId="5">
    <w:abstractNumId w:val="4"/>
  </w:num>
  <w:num w:numId="6">
    <w:abstractNumId w:val="0"/>
  </w:num>
  <w:num w:numId="7">
    <w:abstractNumId w:val="4"/>
  </w:num>
  <w:num w:numId="8">
    <w:abstractNumId w:val="4"/>
  </w:num>
  <w:num w:numId="9">
    <w:abstractNumId w:val="4"/>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87E"/>
    <w:rsid w:val="000014FC"/>
    <w:rsid w:val="000118AC"/>
    <w:rsid w:val="0003287E"/>
    <w:rsid w:val="00097681"/>
    <w:rsid w:val="00233CF3"/>
    <w:rsid w:val="0023734F"/>
    <w:rsid w:val="00343AEF"/>
    <w:rsid w:val="003C0621"/>
    <w:rsid w:val="003C633D"/>
    <w:rsid w:val="003E3C22"/>
    <w:rsid w:val="005648A1"/>
    <w:rsid w:val="00735BE3"/>
    <w:rsid w:val="007703FB"/>
    <w:rsid w:val="007940D1"/>
    <w:rsid w:val="0079630E"/>
    <w:rsid w:val="007C27A9"/>
    <w:rsid w:val="00897F4E"/>
    <w:rsid w:val="008C2505"/>
    <w:rsid w:val="008C7B0B"/>
    <w:rsid w:val="00AA4A93"/>
    <w:rsid w:val="00AA4C1F"/>
    <w:rsid w:val="00B56515"/>
    <w:rsid w:val="00C850EC"/>
    <w:rsid w:val="00D610A8"/>
    <w:rsid w:val="00D85C85"/>
    <w:rsid w:val="00DE03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2A33B"/>
  <w15:docId w15:val="{CBFC6102-8B24-4DFA-A5E9-90918A55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a5">
    <w:name w:val="分項段落"/>
    <w:basedOn w:val="Standard"/>
    <w:pPr>
      <w:snapToGrid w:val="0"/>
      <w:spacing w:line="560" w:lineRule="exact"/>
      <w:jc w:val="both"/>
    </w:pPr>
    <w:rPr>
      <w:rFonts w:eastAsia="標楷體"/>
      <w:sz w:val="32"/>
      <w:szCs w:val="20"/>
      <w:lang w:val="zh-TW"/>
    </w:rPr>
  </w:style>
  <w:style w:type="paragraph" w:styleId="a6">
    <w:name w:val="header"/>
    <w:basedOn w:val="Standard"/>
    <w:pPr>
      <w:widowControl w:val="0"/>
      <w:tabs>
        <w:tab w:val="center" w:pos="4153"/>
        <w:tab w:val="right" w:pos="8306"/>
      </w:tabs>
      <w:snapToGrid w:val="0"/>
    </w:pPr>
    <w:rPr>
      <w:sz w:val="20"/>
      <w:szCs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標楷體" w:eastAsia="標楷體" w:hAnsi="標楷體" w:cs="標楷體"/>
      <w:kern w:val="3"/>
      <w:sz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標楷體" w:hAnsi="Times New Roman" w:cs="Times New Roman"/>
      <w:b w:val="0"/>
      <w:i w:val="0"/>
      <w:caps w:val="0"/>
      <w:smallCaps w:val="0"/>
      <w:strike w:val="0"/>
      <w:dstrike w:val="0"/>
      <w:outline w:val="0"/>
      <w:vanish w:val="0"/>
      <w:color w:val="000000"/>
      <w:position w:val="0"/>
      <w:sz w:val="32"/>
      <w:u w:val="none"/>
      <w:vertAlign w:val="baseline"/>
      <w:em w:val="none"/>
      <w14:shadow w14:blurRad="0" w14:dist="0" w14:dir="0" w14:sx="0" w14:sy="0" w14:kx="0" w14:ky="0" w14:algn="none">
        <w14:srgbClr w14:val="000000"/>
      </w14:shadow>
    </w:rPr>
  </w:style>
  <w:style w:type="character" w:customStyle="1" w:styleId="WW8Num5z4">
    <w:name w:val="WW8Num5z4"/>
    <w:rPr>
      <w:rFonts w:ascii="Times New Roman" w:eastAsia="標楷體" w:hAnsi="Times New Roman" w:cs="Times New Roman"/>
      <w:b w:val="0"/>
      <w:i w:val="0"/>
      <w:color w:val="000000"/>
      <w:sz w:val="32"/>
      <w:u w:val="none"/>
      <w:em w:val="none"/>
    </w:rPr>
  </w:style>
  <w:style w:type="character" w:customStyle="1" w:styleId="WW8Num5z5">
    <w:name w:val="WW8Num5z5"/>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paragraph" w:styleId="a7">
    <w:name w:val="footer"/>
    <w:basedOn w:val="a"/>
    <w:link w:val="a8"/>
    <w:uiPriority w:val="99"/>
    <w:unhideWhenUsed/>
    <w:rsid w:val="00AA4A93"/>
    <w:pPr>
      <w:tabs>
        <w:tab w:val="center" w:pos="4153"/>
        <w:tab w:val="right" w:pos="8306"/>
      </w:tabs>
      <w:snapToGrid w:val="0"/>
    </w:pPr>
    <w:rPr>
      <w:sz w:val="20"/>
      <w:szCs w:val="18"/>
    </w:rPr>
  </w:style>
  <w:style w:type="character" w:customStyle="1" w:styleId="a8">
    <w:name w:val="頁尾 字元"/>
    <w:basedOn w:val="a0"/>
    <w:link w:val="a7"/>
    <w:uiPriority w:val="99"/>
    <w:rsid w:val="00AA4A93"/>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584930">
      <w:bodyDiv w:val="1"/>
      <w:marLeft w:val="0"/>
      <w:marRight w:val="0"/>
      <w:marTop w:val="0"/>
      <w:marBottom w:val="0"/>
      <w:divBdr>
        <w:top w:val="none" w:sz="0" w:space="0" w:color="auto"/>
        <w:left w:val="none" w:sz="0" w:space="0" w:color="auto"/>
        <w:bottom w:val="none" w:sz="0" w:space="0" w:color="auto"/>
        <w:right w:val="none" w:sz="0" w:space="0" w:color="auto"/>
      </w:divBdr>
    </w:div>
    <w:div w:id="1239831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經濟部及所屬機關(構)辦理各類會議及講習訓練作業規定</dc:title>
  <dc:subject>經濟部及所屬機關(構)辦理各類會議及講習訓練作業規定</dc:subject>
  <dc:creator>經濟部</dc:creator>
  <cp:keywords>經濟部及所屬機關(構),各類會議及講習訓練作業規定</cp:keywords>
  <cp:lastModifiedBy>潘淑瑩</cp:lastModifiedBy>
  <cp:revision>2</cp:revision>
  <cp:lastPrinted>2025-01-08T07:52:00Z</cp:lastPrinted>
  <dcterms:created xsi:type="dcterms:W3CDTF">2025-01-09T08:11:00Z</dcterms:created>
  <dcterms:modified xsi:type="dcterms:W3CDTF">2025-01-09T08:11:00Z</dcterms:modified>
</cp:coreProperties>
</file>