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drawings/drawing13.xml" ContentType="application/vnd.openxmlformats-officedocument.drawingml.chartshapes+xml"/>
  <Override PartName="/word/charts/chart19.xml" ContentType="application/vnd.openxmlformats-officedocument.drawingml.chart+xml"/>
  <Override PartName="/word/drawings/drawing14.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A67" w:rsidRPr="007E1257" w:rsidRDefault="006D5A6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D5A67" w:rsidRPr="007E1257" w:rsidRDefault="006D5A6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2F0A6F" w:rsidRPr="00AE0D77">
        <w:rPr>
          <w:rFonts w:eastAsia="標楷體"/>
          <w:b/>
          <w:spacing w:val="20"/>
          <w:sz w:val="40"/>
        </w:rPr>
        <w:t>6</w:t>
      </w:r>
      <w:r w:rsidRPr="00AE0D77">
        <w:rPr>
          <w:rFonts w:eastAsia="標楷體"/>
          <w:b/>
          <w:spacing w:val="20"/>
          <w:sz w:val="40"/>
        </w:rPr>
        <w:t>年</w:t>
      </w:r>
      <w:r w:rsidR="00866187" w:rsidRPr="00AE0D77">
        <w:rPr>
          <w:rFonts w:eastAsia="標楷體"/>
          <w:b/>
          <w:spacing w:val="20"/>
          <w:sz w:val="40"/>
        </w:rPr>
        <w:t>5</w:t>
      </w:r>
      <w:r w:rsidRPr="00AE0D77">
        <w:rPr>
          <w:rFonts w:eastAsia="標楷體"/>
          <w:b/>
          <w:spacing w:val="20"/>
          <w:sz w:val="40"/>
        </w:rPr>
        <w:t>月號</w:t>
      </w: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670CC0">
      <w:pPr>
        <w:spacing w:before="100" w:beforeAutospacing="1" w:after="100" w:afterAutospacing="1"/>
        <w:jc w:val="center"/>
        <w:rPr>
          <w:rFonts w:eastAsia="標楷體"/>
          <w:b/>
          <w:sz w:val="48"/>
        </w:rPr>
        <w:sectPr w:rsidR="00670CC0" w:rsidRPr="00AE0D77"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2F0A6F" w:rsidRPr="00AE0D77">
        <w:rPr>
          <w:rFonts w:eastAsia="標楷體"/>
          <w:b/>
          <w:kern w:val="0"/>
          <w:sz w:val="52"/>
          <w:szCs w:val="20"/>
        </w:rPr>
        <w:t>6</w:t>
      </w:r>
      <w:r w:rsidRPr="00AE0D77">
        <w:rPr>
          <w:rFonts w:eastAsia="標楷體"/>
          <w:b/>
          <w:kern w:val="0"/>
          <w:sz w:val="52"/>
          <w:szCs w:val="20"/>
        </w:rPr>
        <w:t>年</w:t>
      </w:r>
      <w:r w:rsidR="00866187" w:rsidRPr="00AE0D77">
        <w:rPr>
          <w:rFonts w:eastAsia="標楷體"/>
          <w:b/>
          <w:kern w:val="0"/>
          <w:sz w:val="52"/>
          <w:szCs w:val="20"/>
        </w:rPr>
        <w:t>6</w:t>
      </w:r>
      <w:r w:rsidRPr="00AE0D77">
        <w:rPr>
          <w:rFonts w:eastAsia="標楷體"/>
          <w:b/>
          <w:kern w:val="0"/>
          <w:sz w:val="52"/>
          <w:szCs w:val="20"/>
        </w:rPr>
        <w:t>月</w:t>
      </w:r>
      <w:r w:rsidR="008B379D" w:rsidRPr="00AE0D77">
        <w:rPr>
          <w:rFonts w:eastAsia="標楷體"/>
          <w:b/>
          <w:kern w:val="0"/>
          <w:sz w:val="52"/>
          <w:szCs w:val="20"/>
        </w:rPr>
        <w:t>3</w:t>
      </w:r>
      <w:r w:rsidR="00866187" w:rsidRPr="00AE0D77">
        <w:rPr>
          <w:rFonts w:eastAsia="標楷體"/>
          <w:b/>
          <w:kern w:val="0"/>
          <w:sz w:val="52"/>
          <w:szCs w:val="20"/>
        </w:rPr>
        <w:t>0</w:t>
      </w:r>
      <w:r w:rsidRPr="00AE0D77">
        <w:rPr>
          <w:rFonts w:eastAsia="標楷體"/>
          <w:b/>
          <w:kern w:val="0"/>
          <w:sz w:val="52"/>
          <w:szCs w:val="20"/>
        </w:rPr>
        <w:t>日</w:t>
      </w:r>
    </w:p>
    <w:p w:rsidR="00D36D66" w:rsidRPr="00AE0D77"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bookmarkStart w:id="8" w:name="_Toc402171695" w:displacedByCustomXml="next"/>
    <w:bookmarkStart w:id="9" w:name="_Toc401923781" w:displacedByCustomXml="next"/>
    <w:sdt>
      <w:sdtPr>
        <w:rPr>
          <w:rFonts w:eastAsia="新細明體"/>
          <w:b/>
          <w:bCs w:val="0"/>
          <w:smallCaps w:val="0"/>
          <w:noProof w:val="0"/>
          <w:sz w:val="24"/>
          <w:szCs w:val="24"/>
          <w:lang w:val="en-US"/>
        </w:rPr>
        <w:id w:val="-717584272"/>
        <w:docPartObj>
          <w:docPartGallery w:val="Table of Contents"/>
          <w:docPartUnique/>
        </w:docPartObj>
      </w:sdtPr>
      <w:sdtEndPr>
        <w:rPr>
          <w:b w:val="0"/>
        </w:rPr>
      </w:sdtEndPr>
      <w:sdtContent>
        <w:p w:rsidR="006D5A67" w:rsidRPr="00AE0D77" w:rsidRDefault="00D7031B" w:rsidP="006D5A67">
          <w:pPr>
            <w:pStyle w:val="25"/>
            <w:ind w:firstLine="120"/>
            <w:rPr>
              <w:b/>
              <w:sz w:val="24"/>
              <w:szCs w:val="22"/>
              <w:lang w:val="en-US"/>
            </w:rPr>
          </w:pPr>
          <w:r w:rsidRPr="00AE0D77">
            <w:rPr>
              <w:kern w:val="0"/>
              <w:sz w:val="28"/>
              <w:szCs w:val="28"/>
              <w:lang w:val="en-US"/>
            </w:rPr>
            <w:fldChar w:fldCharType="begin"/>
          </w:r>
          <w:r w:rsidRPr="00AE0D77">
            <w:instrText xml:space="preserve"> TOC \o "1-3" \h \z \u </w:instrText>
          </w:r>
          <w:r w:rsidRPr="00AE0D77">
            <w:rPr>
              <w:kern w:val="0"/>
              <w:sz w:val="28"/>
              <w:szCs w:val="28"/>
              <w:lang w:val="en-US"/>
            </w:rPr>
            <w:fldChar w:fldCharType="separate"/>
          </w:r>
          <w:hyperlink w:anchor="_Toc486347612" w:history="1">
            <w:r w:rsidR="006D5A67" w:rsidRPr="00AE0D77">
              <w:rPr>
                <w:rStyle w:val="aff7"/>
                <w:b/>
                <w:sz w:val="40"/>
                <w:szCs w:val="40"/>
              </w:rPr>
              <w:t>壹、當前經濟情勢概要</w:t>
            </w:r>
            <w:r w:rsidR="006D5A67" w:rsidRPr="00AE0D77">
              <w:rPr>
                <w:webHidden/>
                <w:sz w:val="40"/>
                <w:szCs w:val="40"/>
              </w:rPr>
              <w:tab/>
            </w:r>
            <w:r w:rsidR="006D5A67" w:rsidRPr="00CB6156">
              <w:rPr>
                <w:smallCaps w:val="0"/>
                <w:webHidden/>
                <w:sz w:val="40"/>
                <w:szCs w:val="40"/>
              </w:rPr>
              <w:fldChar w:fldCharType="begin"/>
            </w:r>
            <w:r w:rsidR="006D5A67" w:rsidRPr="00CB6156">
              <w:rPr>
                <w:smallCaps w:val="0"/>
                <w:webHidden/>
                <w:sz w:val="40"/>
                <w:szCs w:val="40"/>
              </w:rPr>
              <w:instrText xml:space="preserve"> PAGEREF _Toc486347612 \h </w:instrText>
            </w:r>
            <w:r w:rsidR="006D5A67" w:rsidRPr="00CB6156">
              <w:rPr>
                <w:smallCaps w:val="0"/>
                <w:webHidden/>
                <w:sz w:val="40"/>
                <w:szCs w:val="40"/>
              </w:rPr>
            </w:r>
            <w:r w:rsidR="006D5A67" w:rsidRPr="00CB6156">
              <w:rPr>
                <w:smallCaps w:val="0"/>
                <w:webHidden/>
                <w:sz w:val="40"/>
                <w:szCs w:val="40"/>
              </w:rPr>
              <w:fldChar w:fldCharType="separate"/>
            </w:r>
            <w:r w:rsidR="00983BF3">
              <w:rPr>
                <w:smallCaps w:val="0"/>
                <w:webHidden/>
                <w:sz w:val="40"/>
                <w:szCs w:val="40"/>
              </w:rPr>
              <w:t>1</w:t>
            </w:r>
            <w:r w:rsidR="006D5A67" w:rsidRPr="00CB6156">
              <w:rPr>
                <w:smallCaps w:val="0"/>
                <w:webHidden/>
                <w:sz w:val="40"/>
                <w:szCs w:val="40"/>
              </w:rPr>
              <w:fldChar w:fldCharType="end"/>
            </w:r>
          </w:hyperlink>
        </w:p>
        <w:p w:rsidR="006D5A67" w:rsidRPr="00AE0D77" w:rsidRDefault="00AF6D56" w:rsidP="006D5A67">
          <w:pPr>
            <w:pStyle w:val="25"/>
            <w:rPr>
              <w:lang w:val="en-US"/>
            </w:rPr>
          </w:pPr>
          <w:hyperlink w:anchor="_Toc486347613" w:history="1">
            <w:r w:rsidR="006D5A67" w:rsidRPr="00CB6156">
              <w:rPr>
                <w:rStyle w:val="aff7"/>
                <w:b/>
              </w:rPr>
              <w:t>一、國際經濟</w:t>
            </w:r>
            <w:r w:rsidR="006D5A67" w:rsidRPr="00AE0D77">
              <w:rPr>
                <w:webHidden/>
              </w:rPr>
              <w:tab/>
            </w:r>
            <w:r w:rsidR="006D5A67" w:rsidRPr="00CB6156">
              <w:rPr>
                <w:webHidden/>
              </w:rPr>
              <w:fldChar w:fldCharType="begin"/>
            </w:r>
            <w:r w:rsidR="006D5A67" w:rsidRPr="00CB6156">
              <w:rPr>
                <w:webHidden/>
              </w:rPr>
              <w:instrText xml:space="preserve"> PAGEREF _Toc486347613 \h </w:instrText>
            </w:r>
            <w:r w:rsidR="006D5A67" w:rsidRPr="00CB6156">
              <w:rPr>
                <w:webHidden/>
              </w:rPr>
            </w:r>
            <w:r w:rsidR="006D5A67" w:rsidRPr="00CB6156">
              <w:rPr>
                <w:webHidden/>
              </w:rPr>
              <w:fldChar w:fldCharType="separate"/>
            </w:r>
            <w:r w:rsidR="00983BF3">
              <w:rPr>
                <w:webHidden/>
              </w:rPr>
              <w:t>1</w:t>
            </w:r>
            <w:r w:rsidR="006D5A67" w:rsidRPr="00CB6156">
              <w:rPr>
                <w:webHidden/>
              </w:rPr>
              <w:fldChar w:fldCharType="end"/>
            </w:r>
          </w:hyperlink>
        </w:p>
        <w:p w:rsidR="006D5A67" w:rsidRPr="00AE0D77" w:rsidRDefault="00AF6D56" w:rsidP="006D5A67">
          <w:pPr>
            <w:pStyle w:val="25"/>
            <w:rPr>
              <w:sz w:val="24"/>
              <w:szCs w:val="22"/>
              <w:lang w:val="en-US"/>
            </w:rPr>
          </w:pPr>
          <w:hyperlink w:anchor="_Toc486347614" w:history="1">
            <w:r w:rsidR="006D5A67" w:rsidRPr="00CB6156">
              <w:rPr>
                <w:rStyle w:val="aff7"/>
                <w:b/>
              </w:rPr>
              <w:t>二、國內經濟</w:t>
            </w:r>
            <w:r w:rsidR="006D5A67" w:rsidRPr="00AE0D77">
              <w:rPr>
                <w:webHidden/>
              </w:rPr>
              <w:tab/>
            </w:r>
            <w:r w:rsidR="006D5A67" w:rsidRPr="00CB6156">
              <w:rPr>
                <w:webHidden/>
              </w:rPr>
              <w:fldChar w:fldCharType="begin"/>
            </w:r>
            <w:r w:rsidR="006D5A67" w:rsidRPr="00CB6156">
              <w:rPr>
                <w:webHidden/>
              </w:rPr>
              <w:instrText xml:space="preserve"> PAGEREF _Toc486347614 \h </w:instrText>
            </w:r>
            <w:r w:rsidR="006D5A67" w:rsidRPr="00CB6156">
              <w:rPr>
                <w:webHidden/>
              </w:rPr>
            </w:r>
            <w:r w:rsidR="006D5A67" w:rsidRPr="00CB6156">
              <w:rPr>
                <w:webHidden/>
              </w:rPr>
              <w:fldChar w:fldCharType="separate"/>
            </w:r>
            <w:r w:rsidR="00983BF3">
              <w:rPr>
                <w:webHidden/>
              </w:rPr>
              <w:t>1</w:t>
            </w:r>
            <w:r w:rsidR="006D5A67" w:rsidRPr="00CB6156">
              <w:rPr>
                <w:webHidden/>
              </w:rPr>
              <w:fldChar w:fldCharType="end"/>
            </w:r>
          </w:hyperlink>
        </w:p>
        <w:p w:rsidR="006D5A67" w:rsidRPr="00AE0D77" w:rsidRDefault="00AF6D56" w:rsidP="006D5A67">
          <w:pPr>
            <w:pStyle w:val="25"/>
            <w:rPr>
              <w:b/>
              <w:sz w:val="24"/>
              <w:szCs w:val="22"/>
              <w:lang w:val="en-US"/>
            </w:rPr>
          </w:pPr>
          <w:hyperlink w:anchor="_Toc486347615" w:history="1">
            <w:r w:rsidR="006D5A67" w:rsidRPr="00CB6156">
              <w:rPr>
                <w:rStyle w:val="aff7"/>
                <w:b/>
              </w:rPr>
              <w:t>三、中國大陸經濟</w:t>
            </w:r>
            <w:r w:rsidR="006D5A67" w:rsidRPr="00AE0D77">
              <w:rPr>
                <w:webHidden/>
              </w:rPr>
              <w:tab/>
            </w:r>
            <w:r w:rsidR="006D5A67" w:rsidRPr="00CB6156">
              <w:rPr>
                <w:webHidden/>
              </w:rPr>
              <w:fldChar w:fldCharType="begin"/>
            </w:r>
            <w:r w:rsidR="006D5A67" w:rsidRPr="00CB6156">
              <w:rPr>
                <w:webHidden/>
              </w:rPr>
              <w:instrText xml:space="preserve"> PAGEREF _Toc486347615 \h </w:instrText>
            </w:r>
            <w:r w:rsidR="006D5A67" w:rsidRPr="00CB6156">
              <w:rPr>
                <w:webHidden/>
              </w:rPr>
            </w:r>
            <w:r w:rsidR="006D5A67" w:rsidRPr="00CB6156">
              <w:rPr>
                <w:webHidden/>
              </w:rPr>
              <w:fldChar w:fldCharType="separate"/>
            </w:r>
            <w:r w:rsidR="00983BF3">
              <w:rPr>
                <w:webHidden/>
              </w:rPr>
              <w:t>2</w:t>
            </w:r>
            <w:r w:rsidR="006D5A67" w:rsidRPr="00CB6156">
              <w:rPr>
                <w:webHidden/>
              </w:rPr>
              <w:fldChar w:fldCharType="end"/>
            </w:r>
          </w:hyperlink>
        </w:p>
        <w:p w:rsidR="006D5A67" w:rsidRPr="00AE0D77" w:rsidRDefault="00AF6D56" w:rsidP="006D5A67">
          <w:pPr>
            <w:pStyle w:val="25"/>
            <w:rPr>
              <w:b/>
              <w:sz w:val="24"/>
              <w:szCs w:val="22"/>
              <w:lang w:val="en-US"/>
            </w:rPr>
          </w:pPr>
          <w:hyperlink w:anchor="_Toc486347616" w:history="1">
            <w:r w:rsidR="006D5A67" w:rsidRPr="00CB6156">
              <w:rPr>
                <w:rStyle w:val="aff7"/>
                <w:b/>
              </w:rPr>
              <w:t>四、兩岸經貿</w:t>
            </w:r>
            <w:r w:rsidR="006D5A67" w:rsidRPr="00AE0D77">
              <w:rPr>
                <w:webHidden/>
              </w:rPr>
              <w:tab/>
            </w:r>
            <w:r w:rsidR="006D5A67" w:rsidRPr="00AE0D77">
              <w:rPr>
                <w:webHidden/>
              </w:rPr>
              <w:fldChar w:fldCharType="begin"/>
            </w:r>
            <w:r w:rsidR="006D5A67" w:rsidRPr="00AE0D77">
              <w:rPr>
                <w:webHidden/>
              </w:rPr>
              <w:instrText xml:space="preserve"> PAGEREF _Toc486347616 \h </w:instrText>
            </w:r>
            <w:r w:rsidR="006D5A67" w:rsidRPr="00AE0D77">
              <w:rPr>
                <w:webHidden/>
              </w:rPr>
            </w:r>
            <w:r w:rsidR="006D5A67" w:rsidRPr="00AE0D77">
              <w:rPr>
                <w:webHidden/>
              </w:rPr>
              <w:fldChar w:fldCharType="separate"/>
            </w:r>
            <w:r w:rsidR="00983BF3">
              <w:rPr>
                <w:webHidden/>
              </w:rPr>
              <w:t>3</w:t>
            </w:r>
            <w:r w:rsidR="006D5A67" w:rsidRPr="00AE0D77">
              <w:rPr>
                <w:webHidden/>
              </w:rPr>
              <w:fldChar w:fldCharType="end"/>
            </w:r>
          </w:hyperlink>
        </w:p>
        <w:p w:rsidR="006D5A67" w:rsidRPr="00AE0D77" w:rsidRDefault="00AF6D56" w:rsidP="00CB6156">
          <w:pPr>
            <w:pStyle w:val="25"/>
            <w:rPr>
              <w:b/>
              <w:lang w:val="en-US"/>
            </w:rPr>
          </w:pPr>
          <w:hyperlink w:anchor="_Toc486347617" w:history="1">
            <w:r w:rsidR="006D5A67" w:rsidRPr="00AE0D77">
              <w:rPr>
                <w:rStyle w:val="aff7"/>
                <w:b/>
                <w:sz w:val="40"/>
                <w:szCs w:val="40"/>
              </w:rPr>
              <w:t>貳、國內外經濟指標</w:t>
            </w:r>
            <w:r w:rsidR="006D5A67" w:rsidRPr="00AE0D77">
              <w:rPr>
                <w:webHidden/>
              </w:rPr>
              <w:tab/>
            </w:r>
            <w:r w:rsidR="006D5A67" w:rsidRPr="00CB6156">
              <w:rPr>
                <w:webHidden/>
                <w:sz w:val="40"/>
                <w:szCs w:val="40"/>
              </w:rPr>
              <w:fldChar w:fldCharType="begin"/>
            </w:r>
            <w:r w:rsidR="006D5A67" w:rsidRPr="00CB6156">
              <w:rPr>
                <w:webHidden/>
                <w:sz w:val="40"/>
                <w:szCs w:val="40"/>
              </w:rPr>
              <w:instrText xml:space="preserve"> PAGEREF _Toc486347617 \h </w:instrText>
            </w:r>
            <w:r w:rsidR="006D5A67" w:rsidRPr="00CB6156">
              <w:rPr>
                <w:webHidden/>
                <w:sz w:val="40"/>
                <w:szCs w:val="40"/>
              </w:rPr>
            </w:r>
            <w:r w:rsidR="006D5A67" w:rsidRPr="00CB6156">
              <w:rPr>
                <w:webHidden/>
                <w:sz w:val="40"/>
                <w:szCs w:val="40"/>
              </w:rPr>
              <w:fldChar w:fldCharType="separate"/>
            </w:r>
            <w:r w:rsidR="00983BF3">
              <w:rPr>
                <w:webHidden/>
                <w:sz w:val="40"/>
                <w:szCs w:val="40"/>
              </w:rPr>
              <w:t>4</w:t>
            </w:r>
            <w:r w:rsidR="006D5A67" w:rsidRPr="00CB6156">
              <w:rPr>
                <w:webHidden/>
                <w:sz w:val="40"/>
                <w:szCs w:val="40"/>
              </w:rPr>
              <w:fldChar w:fldCharType="end"/>
            </w:r>
          </w:hyperlink>
        </w:p>
        <w:p w:rsidR="006D5A67" w:rsidRPr="00AE0D77" w:rsidRDefault="00AF6D56" w:rsidP="006D5A67">
          <w:pPr>
            <w:pStyle w:val="25"/>
            <w:rPr>
              <w:b/>
              <w:sz w:val="24"/>
              <w:szCs w:val="22"/>
              <w:lang w:val="en-US"/>
            </w:rPr>
          </w:pPr>
          <w:hyperlink w:anchor="_Toc486347618" w:history="1">
            <w:r w:rsidR="006D5A67" w:rsidRPr="00AE0D77">
              <w:rPr>
                <w:rStyle w:val="aff7"/>
                <w:color w:val="auto"/>
              </w:rPr>
              <w:t>表</w:t>
            </w:r>
            <w:r w:rsidR="006D5A67" w:rsidRPr="00AE0D77">
              <w:rPr>
                <w:rStyle w:val="aff7"/>
                <w:color w:val="auto"/>
              </w:rPr>
              <w:t>1</w:t>
            </w:r>
            <w:r w:rsidR="006D5A67" w:rsidRPr="00AE0D77">
              <w:rPr>
                <w:rStyle w:val="aff7"/>
              </w:rPr>
              <w:t xml:space="preserve">  </w:t>
            </w:r>
            <w:r w:rsidR="006D5A67" w:rsidRPr="00AE0D77">
              <w:rPr>
                <w:rStyle w:val="aff7"/>
              </w:rPr>
              <w:t>世界經濟成長率及物價上漲率</w:t>
            </w:r>
            <w:r w:rsidR="006D5A67" w:rsidRPr="00AE0D77">
              <w:rPr>
                <w:webHidden/>
              </w:rPr>
              <w:tab/>
            </w:r>
            <w:r w:rsidR="006D5A67" w:rsidRPr="00AE0D77">
              <w:rPr>
                <w:webHidden/>
              </w:rPr>
              <w:fldChar w:fldCharType="begin"/>
            </w:r>
            <w:r w:rsidR="006D5A67" w:rsidRPr="00AE0D77">
              <w:rPr>
                <w:webHidden/>
              </w:rPr>
              <w:instrText xml:space="preserve"> PAGEREF _Toc486347618 \h </w:instrText>
            </w:r>
            <w:r w:rsidR="006D5A67" w:rsidRPr="00AE0D77">
              <w:rPr>
                <w:webHidden/>
              </w:rPr>
            </w:r>
            <w:r w:rsidR="006D5A67" w:rsidRPr="00AE0D77">
              <w:rPr>
                <w:webHidden/>
              </w:rPr>
              <w:fldChar w:fldCharType="separate"/>
            </w:r>
            <w:r w:rsidR="00983BF3">
              <w:rPr>
                <w:webHidden/>
              </w:rPr>
              <w:t>4</w:t>
            </w:r>
            <w:r w:rsidR="006D5A67" w:rsidRPr="00AE0D77">
              <w:rPr>
                <w:webHidden/>
              </w:rPr>
              <w:fldChar w:fldCharType="end"/>
            </w:r>
          </w:hyperlink>
        </w:p>
        <w:p w:rsidR="006D5A67" w:rsidRPr="00AE0D77" w:rsidRDefault="00AF6D56" w:rsidP="006D5A67">
          <w:pPr>
            <w:pStyle w:val="25"/>
            <w:rPr>
              <w:b/>
              <w:sz w:val="24"/>
              <w:szCs w:val="22"/>
              <w:lang w:val="en-US"/>
            </w:rPr>
          </w:pPr>
          <w:hyperlink w:anchor="_Toc486347619" w:history="1">
            <w:r w:rsidR="006D5A67" w:rsidRPr="00AE0D77">
              <w:rPr>
                <w:rStyle w:val="aff7"/>
              </w:rPr>
              <w:t>表</w:t>
            </w:r>
            <w:r w:rsidR="006D5A67" w:rsidRPr="00AE0D77">
              <w:rPr>
                <w:rStyle w:val="aff7"/>
              </w:rPr>
              <w:t xml:space="preserve">2  </w:t>
            </w:r>
            <w:r w:rsidR="006D5A67" w:rsidRPr="00AE0D77">
              <w:rPr>
                <w:rStyle w:val="aff7"/>
              </w:rPr>
              <w:t>世界貿易量成長率</w:t>
            </w:r>
            <w:r w:rsidR="006D5A67" w:rsidRPr="00AE0D77">
              <w:rPr>
                <w:webHidden/>
              </w:rPr>
              <w:tab/>
            </w:r>
            <w:r w:rsidR="006D5A67" w:rsidRPr="00AE0D77">
              <w:rPr>
                <w:webHidden/>
              </w:rPr>
              <w:fldChar w:fldCharType="begin"/>
            </w:r>
            <w:r w:rsidR="006D5A67" w:rsidRPr="00AE0D77">
              <w:rPr>
                <w:webHidden/>
              </w:rPr>
              <w:instrText xml:space="preserve"> PAGEREF _Toc486347619 \h </w:instrText>
            </w:r>
            <w:r w:rsidR="006D5A67" w:rsidRPr="00AE0D77">
              <w:rPr>
                <w:webHidden/>
              </w:rPr>
            </w:r>
            <w:r w:rsidR="006D5A67" w:rsidRPr="00AE0D77">
              <w:rPr>
                <w:webHidden/>
              </w:rPr>
              <w:fldChar w:fldCharType="separate"/>
            </w:r>
            <w:r w:rsidR="00983BF3">
              <w:rPr>
                <w:webHidden/>
              </w:rPr>
              <w:t>4</w:t>
            </w:r>
            <w:r w:rsidR="006D5A67" w:rsidRPr="00AE0D77">
              <w:rPr>
                <w:webHidden/>
              </w:rPr>
              <w:fldChar w:fldCharType="end"/>
            </w:r>
          </w:hyperlink>
        </w:p>
        <w:p w:rsidR="006D5A67" w:rsidRPr="00AE0D77" w:rsidRDefault="00AF6D56" w:rsidP="006D5A67">
          <w:pPr>
            <w:pStyle w:val="25"/>
            <w:rPr>
              <w:b/>
              <w:sz w:val="24"/>
              <w:szCs w:val="22"/>
              <w:lang w:val="en-US"/>
            </w:rPr>
          </w:pPr>
          <w:hyperlink w:anchor="_Toc486347620" w:history="1">
            <w:r w:rsidR="006D5A67" w:rsidRPr="00AE0D77">
              <w:rPr>
                <w:rStyle w:val="aff7"/>
              </w:rPr>
              <w:t>表</w:t>
            </w:r>
            <w:r w:rsidR="006D5A67" w:rsidRPr="00AE0D77">
              <w:rPr>
                <w:rStyle w:val="aff7"/>
              </w:rPr>
              <w:t xml:space="preserve">3  </w:t>
            </w:r>
            <w:r w:rsidR="006D5A67" w:rsidRPr="00AE0D77">
              <w:rPr>
                <w:rStyle w:val="aff7"/>
              </w:rPr>
              <w:t>國內主要經濟指標</w:t>
            </w:r>
            <w:r w:rsidR="006D5A67" w:rsidRPr="00AE0D77">
              <w:rPr>
                <w:webHidden/>
              </w:rPr>
              <w:tab/>
            </w:r>
            <w:r w:rsidR="006D5A67" w:rsidRPr="00AE0D77">
              <w:rPr>
                <w:webHidden/>
              </w:rPr>
              <w:fldChar w:fldCharType="begin"/>
            </w:r>
            <w:r w:rsidR="006D5A67" w:rsidRPr="00AE0D77">
              <w:rPr>
                <w:webHidden/>
              </w:rPr>
              <w:instrText xml:space="preserve"> PAGEREF _Toc486347620 \h </w:instrText>
            </w:r>
            <w:r w:rsidR="006D5A67" w:rsidRPr="00AE0D77">
              <w:rPr>
                <w:webHidden/>
              </w:rPr>
            </w:r>
            <w:r w:rsidR="006D5A67" w:rsidRPr="00AE0D77">
              <w:rPr>
                <w:webHidden/>
              </w:rPr>
              <w:fldChar w:fldCharType="separate"/>
            </w:r>
            <w:r w:rsidR="00983BF3">
              <w:rPr>
                <w:webHidden/>
              </w:rPr>
              <w:t>5</w:t>
            </w:r>
            <w:r w:rsidR="006D5A67" w:rsidRPr="00AE0D77">
              <w:rPr>
                <w:webHidden/>
              </w:rPr>
              <w:fldChar w:fldCharType="end"/>
            </w:r>
          </w:hyperlink>
        </w:p>
        <w:p w:rsidR="006D5A67" w:rsidRPr="00AE0D77" w:rsidRDefault="00AF6D56" w:rsidP="006D5A67">
          <w:pPr>
            <w:pStyle w:val="25"/>
            <w:rPr>
              <w:b/>
              <w:sz w:val="24"/>
              <w:szCs w:val="22"/>
              <w:lang w:val="en-US"/>
            </w:rPr>
          </w:pPr>
          <w:hyperlink w:anchor="_Toc486347621" w:history="1">
            <w:r w:rsidR="006D5A67" w:rsidRPr="00AE0D77">
              <w:rPr>
                <w:rStyle w:val="aff7"/>
              </w:rPr>
              <w:t>表</w:t>
            </w:r>
            <w:r w:rsidR="006D5A67" w:rsidRPr="00AE0D77">
              <w:rPr>
                <w:rStyle w:val="aff7"/>
              </w:rPr>
              <w:t xml:space="preserve">4  </w:t>
            </w:r>
            <w:r w:rsidR="006D5A67" w:rsidRPr="00AE0D77">
              <w:rPr>
                <w:rStyle w:val="aff7"/>
              </w:rPr>
              <w:t>中國大陸主要經濟指標</w:t>
            </w:r>
            <w:r w:rsidR="006D5A67" w:rsidRPr="00AE0D77">
              <w:rPr>
                <w:webHidden/>
              </w:rPr>
              <w:tab/>
            </w:r>
            <w:r w:rsidR="006D5A67" w:rsidRPr="00AE0D77">
              <w:rPr>
                <w:webHidden/>
              </w:rPr>
              <w:fldChar w:fldCharType="begin"/>
            </w:r>
            <w:r w:rsidR="006D5A67" w:rsidRPr="00AE0D77">
              <w:rPr>
                <w:webHidden/>
              </w:rPr>
              <w:instrText xml:space="preserve"> PAGEREF _Toc486347621 \h </w:instrText>
            </w:r>
            <w:r w:rsidR="006D5A67" w:rsidRPr="00AE0D77">
              <w:rPr>
                <w:webHidden/>
              </w:rPr>
            </w:r>
            <w:r w:rsidR="006D5A67" w:rsidRPr="00AE0D77">
              <w:rPr>
                <w:webHidden/>
              </w:rPr>
              <w:fldChar w:fldCharType="separate"/>
            </w:r>
            <w:r w:rsidR="00983BF3">
              <w:rPr>
                <w:webHidden/>
              </w:rPr>
              <w:t>6</w:t>
            </w:r>
            <w:r w:rsidR="006D5A67" w:rsidRPr="00AE0D77">
              <w:rPr>
                <w:webHidden/>
              </w:rPr>
              <w:fldChar w:fldCharType="end"/>
            </w:r>
          </w:hyperlink>
        </w:p>
        <w:p w:rsidR="006D5A67" w:rsidRPr="00AE0D77" w:rsidRDefault="00AF6D56" w:rsidP="006D5A67">
          <w:pPr>
            <w:pStyle w:val="25"/>
            <w:rPr>
              <w:b/>
              <w:sz w:val="24"/>
              <w:szCs w:val="22"/>
              <w:lang w:val="en-US"/>
            </w:rPr>
          </w:pPr>
          <w:hyperlink w:anchor="_Toc486347622" w:history="1">
            <w:r w:rsidR="006D5A67" w:rsidRPr="00AE0D77">
              <w:rPr>
                <w:rStyle w:val="aff7"/>
              </w:rPr>
              <w:t>表</w:t>
            </w:r>
            <w:r w:rsidR="006D5A67" w:rsidRPr="00AE0D77">
              <w:rPr>
                <w:rStyle w:val="aff7"/>
              </w:rPr>
              <w:t xml:space="preserve">5  </w:t>
            </w:r>
            <w:r w:rsidR="006D5A67" w:rsidRPr="00AE0D77">
              <w:rPr>
                <w:rStyle w:val="aff7"/>
              </w:rPr>
              <w:t>兩岸經貿統計</w:t>
            </w:r>
            <w:r w:rsidR="006D5A67" w:rsidRPr="00AE0D77">
              <w:rPr>
                <w:webHidden/>
              </w:rPr>
              <w:tab/>
            </w:r>
            <w:r w:rsidR="006D5A67" w:rsidRPr="00AE0D77">
              <w:rPr>
                <w:webHidden/>
              </w:rPr>
              <w:fldChar w:fldCharType="begin"/>
            </w:r>
            <w:r w:rsidR="006D5A67" w:rsidRPr="00AE0D77">
              <w:rPr>
                <w:webHidden/>
              </w:rPr>
              <w:instrText xml:space="preserve"> PAGEREF _Toc486347622 \h </w:instrText>
            </w:r>
            <w:r w:rsidR="006D5A67" w:rsidRPr="00AE0D77">
              <w:rPr>
                <w:webHidden/>
              </w:rPr>
            </w:r>
            <w:r w:rsidR="006D5A67" w:rsidRPr="00AE0D77">
              <w:rPr>
                <w:webHidden/>
              </w:rPr>
              <w:fldChar w:fldCharType="separate"/>
            </w:r>
            <w:r w:rsidR="00983BF3">
              <w:rPr>
                <w:webHidden/>
              </w:rPr>
              <w:t>7</w:t>
            </w:r>
            <w:r w:rsidR="006D5A67" w:rsidRPr="00AE0D77">
              <w:rPr>
                <w:webHidden/>
              </w:rPr>
              <w:fldChar w:fldCharType="end"/>
            </w:r>
          </w:hyperlink>
        </w:p>
        <w:p w:rsidR="006D5A67" w:rsidRPr="00AE0D77" w:rsidRDefault="00AF6D56" w:rsidP="006D5A67">
          <w:pPr>
            <w:pStyle w:val="25"/>
            <w:rPr>
              <w:b/>
              <w:sz w:val="24"/>
              <w:szCs w:val="22"/>
              <w:lang w:val="en-US"/>
            </w:rPr>
          </w:pPr>
          <w:hyperlink w:anchor="_Toc486347623" w:history="1">
            <w:r w:rsidR="006D5A67" w:rsidRPr="00AE0D77">
              <w:rPr>
                <w:rStyle w:val="aff7"/>
                <w:b/>
                <w:sz w:val="40"/>
                <w:szCs w:val="40"/>
              </w:rPr>
              <w:t>參、經濟情勢分析</w:t>
            </w:r>
            <w:r w:rsidR="006D5A67" w:rsidRPr="00AE0D77">
              <w:rPr>
                <w:webHidden/>
              </w:rPr>
              <w:tab/>
            </w:r>
            <w:r w:rsidR="006D5A67" w:rsidRPr="00CB6156">
              <w:rPr>
                <w:webHidden/>
                <w:sz w:val="40"/>
                <w:szCs w:val="40"/>
              </w:rPr>
              <w:fldChar w:fldCharType="begin"/>
            </w:r>
            <w:r w:rsidR="006D5A67" w:rsidRPr="00CB6156">
              <w:rPr>
                <w:webHidden/>
                <w:sz w:val="40"/>
                <w:szCs w:val="40"/>
              </w:rPr>
              <w:instrText xml:space="preserve"> PAGEREF _Toc486347623 \h </w:instrText>
            </w:r>
            <w:r w:rsidR="006D5A67" w:rsidRPr="00CB6156">
              <w:rPr>
                <w:webHidden/>
                <w:sz w:val="40"/>
                <w:szCs w:val="40"/>
              </w:rPr>
            </w:r>
            <w:r w:rsidR="006D5A67" w:rsidRPr="00CB6156">
              <w:rPr>
                <w:webHidden/>
                <w:sz w:val="40"/>
                <w:szCs w:val="40"/>
              </w:rPr>
              <w:fldChar w:fldCharType="separate"/>
            </w:r>
            <w:r w:rsidR="00983BF3">
              <w:rPr>
                <w:webHidden/>
                <w:sz w:val="40"/>
                <w:szCs w:val="40"/>
              </w:rPr>
              <w:t>8</w:t>
            </w:r>
            <w:r w:rsidR="006D5A67" w:rsidRPr="00CB6156">
              <w:rPr>
                <w:webHidden/>
                <w:sz w:val="40"/>
                <w:szCs w:val="40"/>
              </w:rPr>
              <w:fldChar w:fldCharType="end"/>
            </w:r>
          </w:hyperlink>
        </w:p>
        <w:p w:rsidR="006D5A67" w:rsidRPr="00AE0D77" w:rsidRDefault="00AF6D56" w:rsidP="006D5A67">
          <w:pPr>
            <w:pStyle w:val="25"/>
            <w:rPr>
              <w:b/>
              <w:sz w:val="24"/>
              <w:szCs w:val="22"/>
              <w:lang w:val="en-US"/>
            </w:rPr>
          </w:pPr>
          <w:hyperlink w:anchor="_Toc486347624" w:history="1">
            <w:r w:rsidR="006D5A67" w:rsidRPr="00AE0D77">
              <w:rPr>
                <w:rStyle w:val="aff7"/>
                <w:b/>
              </w:rPr>
              <w:t>一、國際經濟</w:t>
            </w:r>
            <w:r w:rsidR="006D5A67" w:rsidRPr="00AE0D77">
              <w:rPr>
                <w:webHidden/>
              </w:rPr>
              <w:tab/>
            </w:r>
            <w:r w:rsidR="006D5A67" w:rsidRPr="00CB6156">
              <w:rPr>
                <w:webHidden/>
              </w:rPr>
              <w:fldChar w:fldCharType="begin"/>
            </w:r>
            <w:r w:rsidR="006D5A67" w:rsidRPr="00CB6156">
              <w:rPr>
                <w:webHidden/>
              </w:rPr>
              <w:instrText xml:space="preserve"> PAGEREF _Toc486347624 \h </w:instrText>
            </w:r>
            <w:r w:rsidR="006D5A67" w:rsidRPr="00CB6156">
              <w:rPr>
                <w:webHidden/>
              </w:rPr>
            </w:r>
            <w:r w:rsidR="006D5A67" w:rsidRPr="00CB6156">
              <w:rPr>
                <w:webHidden/>
              </w:rPr>
              <w:fldChar w:fldCharType="separate"/>
            </w:r>
            <w:r w:rsidR="00983BF3">
              <w:rPr>
                <w:webHidden/>
              </w:rPr>
              <w:t>8</w:t>
            </w:r>
            <w:r w:rsidR="006D5A67" w:rsidRPr="00CB6156">
              <w:rPr>
                <w:webHidden/>
              </w:rPr>
              <w:fldChar w:fldCharType="end"/>
            </w:r>
          </w:hyperlink>
        </w:p>
        <w:p w:rsidR="006D5A67" w:rsidRPr="00AE0D77" w:rsidRDefault="00AF6D56">
          <w:pPr>
            <w:pStyle w:val="33"/>
            <w:rPr>
              <w:bCs w:val="0"/>
              <w:sz w:val="24"/>
              <w:szCs w:val="22"/>
            </w:rPr>
          </w:pPr>
          <w:hyperlink w:anchor="_Toc486347625" w:history="1">
            <w:r w:rsidR="006D5A67" w:rsidRPr="00AE0D77">
              <w:rPr>
                <w:rStyle w:val="aff7"/>
              </w:rPr>
              <w:t>（一）美國</w:t>
            </w:r>
            <w:r w:rsidR="006D5A67" w:rsidRPr="00AE0D77">
              <w:rPr>
                <w:webHidden/>
              </w:rPr>
              <w:tab/>
            </w:r>
            <w:r w:rsidR="006D5A67" w:rsidRPr="00AE0D77">
              <w:rPr>
                <w:webHidden/>
              </w:rPr>
              <w:fldChar w:fldCharType="begin"/>
            </w:r>
            <w:r w:rsidR="006D5A67" w:rsidRPr="00AE0D77">
              <w:rPr>
                <w:webHidden/>
              </w:rPr>
              <w:instrText xml:space="preserve"> PAGEREF _Toc486347625 \h </w:instrText>
            </w:r>
            <w:r w:rsidR="006D5A67" w:rsidRPr="00AE0D77">
              <w:rPr>
                <w:webHidden/>
              </w:rPr>
            </w:r>
            <w:r w:rsidR="006D5A67" w:rsidRPr="00AE0D77">
              <w:rPr>
                <w:webHidden/>
              </w:rPr>
              <w:fldChar w:fldCharType="separate"/>
            </w:r>
            <w:r w:rsidR="00983BF3">
              <w:rPr>
                <w:webHidden/>
              </w:rPr>
              <w:t>8</w:t>
            </w:r>
            <w:r w:rsidR="006D5A67" w:rsidRPr="00AE0D77">
              <w:rPr>
                <w:webHidden/>
              </w:rPr>
              <w:fldChar w:fldCharType="end"/>
            </w:r>
          </w:hyperlink>
        </w:p>
        <w:p w:rsidR="006D5A67" w:rsidRPr="00AE0D77" w:rsidRDefault="00AF6D56">
          <w:pPr>
            <w:pStyle w:val="33"/>
            <w:rPr>
              <w:bCs w:val="0"/>
              <w:sz w:val="24"/>
              <w:szCs w:val="22"/>
            </w:rPr>
          </w:pPr>
          <w:hyperlink w:anchor="_Toc486347626" w:history="1">
            <w:r w:rsidR="006D5A67" w:rsidRPr="00AE0D77">
              <w:rPr>
                <w:rStyle w:val="aff7"/>
              </w:rPr>
              <w:t>（二）歐元區</w:t>
            </w:r>
            <w:r w:rsidR="006D5A67" w:rsidRPr="00AE0D77">
              <w:rPr>
                <w:webHidden/>
              </w:rPr>
              <w:tab/>
            </w:r>
            <w:r w:rsidR="006D5A67" w:rsidRPr="00AE0D77">
              <w:rPr>
                <w:webHidden/>
              </w:rPr>
              <w:fldChar w:fldCharType="begin"/>
            </w:r>
            <w:r w:rsidR="006D5A67" w:rsidRPr="00AE0D77">
              <w:rPr>
                <w:webHidden/>
              </w:rPr>
              <w:instrText xml:space="preserve"> PAGEREF _Toc486347626 \h </w:instrText>
            </w:r>
            <w:r w:rsidR="006D5A67" w:rsidRPr="00AE0D77">
              <w:rPr>
                <w:webHidden/>
              </w:rPr>
            </w:r>
            <w:r w:rsidR="006D5A67" w:rsidRPr="00AE0D77">
              <w:rPr>
                <w:webHidden/>
              </w:rPr>
              <w:fldChar w:fldCharType="separate"/>
            </w:r>
            <w:r w:rsidR="00983BF3">
              <w:rPr>
                <w:webHidden/>
              </w:rPr>
              <w:t>10</w:t>
            </w:r>
            <w:r w:rsidR="006D5A67" w:rsidRPr="00AE0D77">
              <w:rPr>
                <w:webHidden/>
              </w:rPr>
              <w:fldChar w:fldCharType="end"/>
            </w:r>
          </w:hyperlink>
        </w:p>
        <w:p w:rsidR="006D5A67" w:rsidRPr="00AE0D77" w:rsidRDefault="00AF6D56">
          <w:pPr>
            <w:pStyle w:val="33"/>
            <w:rPr>
              <w:bCs w:val="0"/>
              <w:sz w:val="24"/>
              <w:szCs w:val="22"/>
            </w:rPr>
          </w:pPr>
          <w:hyperlink w:anchor="_Toc486347627" w:history="1">
            <w:r w:rsidR="006D5A67" w:rsidRPr="00AE0D77">
              <w:rPr>
                <w:rStyle w:val="aff7"/>
              </w:rPr>
              <w:t>（三）亞太地區</w:t>
            </w:r>
            <w:r w:rsidR="006D5A67" w:rsidRPr="00AE0D77">
              <w:rPr>
                <w:webHidden/>
              </w:rPr>
              <w:tab/>
            </w:r>
            <w:r w:rsidR="006D5A67" w:rsidRPr="00AE0D77">
              <w:rPr>
                <w:webHidden/>
              </w:rPr>
              <w:fldChar w:fldCharType="begin"/>
            </w:r>
            <w:r w:rsidR="006D5A67" w:rsidRPr="00AE0D77">
              <w:rPr>
                <w:webHidden/>
              </w:rPr>
              <w:instrText xml:space="preserve"> PAGEREF _Toc486347627 \h </w:instrText>
            </w:r>
            <w:r w:rsidR="006D5A67" w:rsidRPr="00AE0D77">
              <w:rPr>
                <w:webHidden/>
              </w:rPr>
            </w:r>
            <w:r w:rsidR="006D5A67" w:rsidRPr="00AE0D77">
              <w:rPr>
                <w:webHidden/>
              </w:rPr>
              <w:fldChar w:fldCharType="separate"/>
            </w:r>
            <w:r w:rsidR="00983BF3">
              <w:rPr>
                <w:webHidden/>
              </w:rPr>
              <w:t>12</w:t>
            </w:r>
            <w:r w:rsidR="006D5A67" w:rsidRPr="00AE0D77">
              <w:rPr>
                <w:webHidden/>
              </w:rPr>
              <w:fldChar w:fldCharType="end"/>
            </w:r>
          </w:hyperlink>
        </w:p>
        <w:p w:rsidR="006D5A67" w:rsidRPr="00AE0D77" w:rsidRDefault="00AF6D56" w:rsidP="006D5A67">
          <w:pPr>
            <w:pStyle w:val="25"/>
            <w:rPr>
              <w:b/>
              <w:sz w:val="24"/>
              <w:szCs w:val="22"/>
              <w:lang w:val="en-US"/>
            </w:rPr>
          </w:pPr>
          <w:hyperlink w:anchor="_Toc486347628" w:history="1">
            <w:r w:rsidR="006D5A67" w:rsidRPr="00AE0D77">
              <w:rPr>
                <w:rStyle w:val="aff7"/>
                <w:b/>
              </w:rPr>
              <w:t>二、國內經濟</w:t>
            </w:r>
            <w:r w:rsidR="006D5A67" w:rsidRPr="00AE0D77">
              <w:rPr>
                <w:webHidden/>
              </w:rPr>
              <w:tab/>
            </w:r>
            <w:r w:rsidR="006D5A67" w:rsidRPr="00CB6156">
              <w:rPr>
                <w:webHidden/>
              </w:rPr>
              <w:fldChar w:fldCharType="begin"/>
            </w:r>
            <w:r w:rsidR="006D5A67" w:rsidRPr="00CB6156">
              <w:rPr>
                <w:webHidden/>
              </w:rPr>
              <w:instrText xml:space="preserve"> PAGEREF _Toc486347628 \h </w:instrText>
            </w:r>
            <w:r w:rsidR="006D5A67" w:rsidRPr="00CB6156">
              <w:rPr>
                <w:webHidden/>
              </w:rPr>
            </w:r>
            <w:r w:rsidR="006D5A67" w:rsidRPr="00CB6156">
              <w:rPr>
                <w:webHidden/>
              </w:rPr>
              <w:fldChar w:fldCharType="separate"/>
            </w:r>
            <w:r w:rsidR="00983BF3">
              <w:rPr>
                <w:webHidden/>
              </w:rPr>
              <w:t>20</w:t>
            </w:r>
            <w:r w:rsidR="006D5A67" w:rsidRPr="00CB6156">
              <w:rPr>
                <w:webHidden/>
              </w:rPr>
              <w:fldChar w:fldCharType="end"/>
            </w:r>
          </w:hyperlink>
        </w:p>
        <w:p w:rsidR="006D5A67" w:rsidRPr="00AE0D77" w:rsidRDefault="00AF6D56">
          <w:pPr>
            <w:pStyle w:val="33"/>
            <w:rPr>
              <w:bCs w:val="0"/>
              <w:sz w:val="24"/>
              <w:szCs w:val="22"/>
            </w:rPr>
          </w:pPr>
          <w:hyperlink w:anchor="_Toc486347629" w:history="1">
            <w:r w:rsidR="006D5A67" w:rsidRPr="00AE0D77">
              <w:rPr>
                <w:rStyle w:val="aff7"/>
              </w:rPr>
              <w:t>（一）總體情勢</w:t>
            </w:r>
            <w:r w:rsidR="006D5A67" w:rsidRPr="00AE0D77">
              <w:rPr>
                <w:webHidden/>
              </w:rPr>
              <w:tab/>
            </w:r>
            <w:r w:rsidR="006D5A67" w:rsidRPr="00AE0D77">
              <w:rPr>
                <w:webHidden/>
              </w:rPr>
              <w:fldChar w:fldCharType="begin"/>
            </w:r>
            <w:r w:rsidR="006D5A67" w:rsidRPr="00AE0D77">
              <w:rPr>
                <w:webHidden/>
              </w:rPr>
              <w:instrText xml:space="preserve"> PAGEREF _Toc486347629 \h </w:instrText>
            </w:r>
            <w:r w:rsidR="006D5A67" w:rsidRPr="00AE0D77">
              <w:rPr>
                <w:webHidden/>
              </w:rPr>
            </w:r>
            <w:r w:rsidR="006D5A67" w:rsidRPr="00AE0D77">
              <w:rPr>
                <w:webHidden/>
              </w:rPr>
              <w:fldChar w:fldCharType="separate"/>
            </w:r>
            <w:r w:rsidR="00983BF3">
              <w:rPr>
                <w:webHidden/>
              </w:rPr>
              <w:t>20</w:t>
            </w:r>
            <w:r w:rsidR="006D5A67" w:rsidRPr="00AE0D77">
              <w:rPr>
                <w:webHidden/>
              </w:rPr>
              <w:fldChar w:fldCharType="end"/>
            </w:r>
          </w:hyperlink>
        </w:p>
        <w:p w:rsidR="006D5A67" w:rsidRPr="00AE0D77" w:rsidRDefault="00AF6D56">
          <w:pPr>
            <w:pStyle w:val="33"/>
            <w:rPr>
              <w:bCs w:val="0"/>
              <w:sz w:val="24"/>
              <w:szCs w:val="22"/>
            </w:rPr>
          </w:pPr>
          <w:hyperlink w:anchor="_Toc486347630" w:history="1">
            <w:r w:rsidR="006D5A67" w:rsidRPr="00AE0D77">
              <w:rPr>
                <w:rStyle w:val="aff7"/>
              </w:rPr>
              <w:t>（二）工業生產</w:t>
            </w:r>
            <w:r w:rsidR="006D5A67" w:rsidRPr="00AE0D77">
              <w:rPr>
                <w:webHidden/>
              </w:rPr>
              <w:tab/>
            </w:r>
            <w:r w:rsidR="006D5A67" w:rsidRPr="00AE0D77">
              <w:rPr>
                <w:webHidden/>
              </w:rPr>
              <w:fldChar w:fldCharType="begin"/>
            </w:r>
            <w:r w:rsidR="006D5A67" w:rsidRPr="00AE0D77">
              <w:rPr>
                <w:webHidden/>
              </w:rPr>
              <w:instrText xml:space="preserve"> PAGEREF _Toc486347630 \h </w:instrText>
            </w:r>
            <w:r w:rsidR="006D5A67" w:rsidRPr="00AE0D77">
              <w:rPr>
                <w:webHidden/>
              </w:rPr>
            </w:r>
            <w:r w:rsidR="006D5A67" w:rsidRPr="00AE0D77">
              <w:rPr>
                <w:webHidden/>
              </w:rPr>
              <w:fldChar w:fldCharType="separate"/>
            </w:r>
            <w:r w:rsidR="00983BF3">
              <w:rPr>
                <w:webHidden/>
              </w:rPr>
              <w:t>23</w:t>
            </w:r>
            <w:r w:rsidR="006D5A67" w:rsidRPr="00AE0D77">
              <w:rPr>
                <w:webHidden/>
              </w:rPr>
              <w:fldChar w:fldCharType="end"/>
            </w:r>
          </w:hyperlink>
        </w:p>
        <w:p w:rsidR="006D5A67" w:rsidRPr="00AE0D77" w:rsidRDefault="00AF6D56">
          <w:pPr>
            <w:pStyle w:val="33"/>
            <w:rPr>
              <w:bCs w:val="0"/>
              <w:sz w:val="24"/>
              <w:szCs w:val="22"/>
            </w:rPr>
          </w:pPr>
          <w:hyperlink w:anchor="_Toc486347631" w:history="1">
            <w:r w:rsidR="006D5A67" w:rsidRPr="00AE0D77">
              <w:rPr>
                <w:rStyle w:val="aff7"/>
              </w:rPr>
              <w:t>（三）批發、零售及餐飲業</w:t>
            </w:r>
            <w:r w:rsidR="006D5A67" w:rsidRPr="00AE0D77">
              <w:rPr>
                <w:webHidden/>
              </w:rPr>
              <w:tab/>
            </w:r>
            <w:r w:rsidR="006D5A67" w:rsidRPr="00AE0D77">
              <w:rPr>
                <w:webHidden/>
              </w:rPr>
              <w:fldChar w:fldCharType="begin"/>
            </w:r>
            <w:r w:rsidR="006D5A67" w:rsidRPr="00AE0D77">
              <w:rPr>
                <w:webHidden/>
              </w:rPr>
              <w:instrText xml:space="preserve"> PAGEREF _Toc486347631 \h </w:instrText>
            </w:r>
            <w:r w:rsidR="006D5A67" w:rsidRPr="00AE0D77">
              <w:rPr>
                <w:webHidden/>
              </w:rPr>
            </w:r>
            <w:r w:rsidR="006D5A67" w:rsidRPr="00AE0D77">
              <w:rPr>
                <w:webHidden/>
              </w:rPr>
              <w:fldChar w:fldCharType="separate"/>
            </w:r>
            <w:r w:rsidR="00983BF3">
              <w:rPr>
                <w:webHidden/>
              </w:rPr>
              <w:t>27</w:t>
            </w:r>
            <w:r w:rsidR="006D5A67" w:rsidRPr="00AE0D77">
              <w:rPr>
                <w:webHidden/>
              </w:rPr>
              <w:fldChar w:fldCharType="end"/>
            </w:r>
          </w:hyperlink>
        </w:p>
        <w:p w:rsidR="006D5A67" w:rsidRPr="00AE0D77" w:rsidRDefault="00AF6D56">
          <w:pPr>
            <w:pStyle w:val="33"/>
            <w:rPr>
              <w:bCs w:val="0"/>
              <w:sz w:val="24"/>
              <w:szCs w:val="22"/>
            </w:rPr>
          </w:pPr>
          <w:hyperlink w:anchor="_Toc486347632" w:history="1">
            <w:r w:rsidR="006D5A67" w:rsidRPr="00AE0D77">
              <w:rPr>
                <w:rStyle w:val="aff7"/>
              </w:rPr>
              <w:t>（四）貿易</w:t>
            </w:r>
            <w:r w:rsidR="006D5A67" w:rsidRPr="00AE0D77">
              <w:rPr>
                <w:webHidden/>
              </w:rPr>
              <w:tab/>
            </w:r>
            <w:r w:rsidR="006D5A67" w:rsidRPr="00AE0D77">
              <w:rPr>
                <w:webHidden/>
              </w:rPr>
              <w:fldChar w:fldCharType="begin"/>
            </w:r>
            <w:r w:rsidR="006D5A67" w:rsidRPr="00AE0D77">
              <w:rPr>
                <w:webHidden/>
              </w:rPr>
              <w:instrText xml:space="preserve"> PAGEREF _Toc486347632 \h </w:instrText>
            </w:r>
            <w:r w:rsidR="006D5A67" w:rsidRPr="00AE0D77">
              <w:rPr>
                <w:webHidden/>
              </w:rPr>
            </w:r>
            <w:r w:rsidR="006D5A67" w:rsidRPr="00AE0D77">
              <w:rPr>
                <w:webHidden/>
              </w:rPr>
              <w:fldChar w:fldCharType="separate"/>
            </w:r>
            <w:r w:rsidR="00983BF3">
              <w:rPr>
                <w:webHidden/>
              </w:rPr>
              <w:t>31</w:t>
            </w:r>
            <w:r w:rsidR="006D5A67" w:rsidRPr="00AE0D77">
              <w:rPr>
                <w:webHidden/>
              </w:rPr>
              <w:fldChar w:fldCharType="end"/>
            </w:r>
          </w:hyperlink>
        </w:p>
        <w:p w:rsidR="006D5A67" w:rsidRPr="00AE0D77" w:rsidRDefault="00AF6D56">
          <w:pPr>
            <w:pStyle w:val="33"/>
            <w:rPr>
              <w:bCs w:val="0"/>
              <w:sz w:val="24"/>
              <w:szCs w:val="22"/>
            </w:rPr>
          </w:pPr>
          <w:hyperlink w:anchor="_Toc486347633" w:history="1">
            <w:r w:rsidR="006D5A67" w:rsidRPr="00AE0D77">
              <w:rPr>
                <w:rStyle w:val="aff7"/>
              </w:rPr>
              <w:t>（五）外銷訂單</w:t>
            </w:r>
            <w:r w:rsidR="006D5A67" w:rsidRPr="00AE0D77">
              <w:rPr>
                <w:webHidden/>
              </w:rPr>
              <w:tab/>
            </w:r>
            <w:r w:rsidR="006D5A67" w:rsidRPr="00AE0D77">
              <w:rPr>
                <w:webHidden/>
              </w:rPr>
              <w:fldChar w:fldCharType="begin"/>
            </w:r>
            <w:r w:rsidR="006D5A67" w:rsidRPr="00AE0D77">
              <w:rPr>
                <w:webHidden/>
              </w:rPr>
              <w:instrText xml:space="preserve"> PAGEREF _Toc486347633 \h </w:instrText>
            </w:r>
            <w:r w:rsidR="006D5A67" w:rsidRPr="00AE0D77">
              <w:rPr>
                <w:webHidden/>
              </w:rPr>
            </w:r>
            <w:r w:rsidR="006D5A67" w:rsidRPr="00AE0D77">
              <w:rPr>
                <w:webHidden/>
              </w:rPr>
              <w:fldChar w:fldCharType="separate"/>
            </w:r>
            <w:r w:rsidR="00983BF3">
              <w:rPr>
                <w:webHidden/>
              </w:rPr>
              <w:t>34</w:t>
            </w:r>
            <w:r w:rsidR="006D5A67" w:rsidRPr="00AE0D77">
              <w:rPr>
                <w:webHidden/>
              </w:rPr>
              <w:fldChar w:fldCharType="end"/>
            </w:r>
          </w:hyperlink>
        </w:p>
        <w:p w:rsidR="006D5A67" w:rsidRPr="00AE0D77" w:rsidRDefault="00AF6D56">
          <w:pPr>
            <w:pStyle w:val="33"/>
            <w:rPr>
              <w:bCs w:val="0"/>
              <w:sz w:val="24"/>
              <w:szCs w:val="22"/>
            </w:rPr>
          </w:pPr>
          <w:hyperlink w:anchor="_Toc486347634" w:history="1">
            <w:r w:rsidR="006D5A67" w:rsidRPr="00AE0D77">
              <w:rPr>
                <w:rStyle w:val="aff7"/>
              </w:rPr>
              <w:t>（六）投資</w:t>
            </w:r>
            <w:r w:rsidR="006D5A67" w:rsidRPr="00AE0D77">
              <w:rPr>
                <w:webHidden/>
              </w:rPr>
              <w:tab/>
            </w:r>
            <w:r w:rsidR="006D5A67" w:rsidRPr="00AE0D77">
              <w:rPr>
                <w:webHidden/>
              </w:rPr>
              <w:fldChar w:fldCharType="begin"/>
            </w:r>
            <w:r w:rsidR="006D5A67" w:rsidRPr="00AE0D77">
              <w:rPr>
                <w:webHidden/>
              </w:rPr>
              <w:instrText xml:space="preserve"> PAGEREF _Toc486347634 \h </w:instrText>
            </w:r>
            <w:r w:rsidR="006D5A67" w:rsidRPr="00AE0D77">
              <w:rPr>
                <w:webHidden/>
              </w:rPr>
            </w:r>
            <w:r w:rsidR="006D5A67" w:rsidRPr="00AE0D77">
              <w:rPr>
                <w:webHidden/>
              </w:rPr>
              <w:fldChar w:fldCharType="separate"/>
            </w:r>
            <w:r w:rsidR="00983BF3">
              <w:rPr>
                <w:webHidden/>
              </w:rPr>
              <w:t>37</w:t>
            </w:r>
            <w:r w:rsidR="006D5A67" w:rsidRPr="00AE0D77">
              <w:rPr>
                <w:webHidden/>
              </w:rPr>
              <w:fldChar w:fldCharType="end"/>
            </w:r>
          </w:hyperlink>
        </w:p>
        <w:p w:rsidR="006D5A67" w:rsidRPr="00AE0D77" w:rsidRDefault="00AF6D56">
          <w:pPr>
            <w:pStyle w:val="33"/>
            <w:rPr>
              <w:bCs w:val="0"/>
              <w:sz w:val="24"/>
              <w:szCs w:val="22"/>
            </w:rPr>
          </w:pPr>
          <w:hyperlink w:anchor="_Toc486347635" w:history="1">
            <w:r w:rsidR="006D5A67" w:rsidRPr="00AE0D77">
              <w:rPr>
                <w:rStyle w:val="aff7"/>
              </w:rPr>
              <w:t>（七）物價</w:t>
            </w:r>
            <w:r w:rsidR="006D5A67" w:rsidRPr="00AE0D77">
              <w:rPr>
                <w:webHidden/>
              </w:rPr>
              <w:tab/>
            </w:r>
            <w:r w:rsidR="006D5A67" w:rsidRPr="00AE0D77">
              <w:rPr>
                <w:webHidden/>
              </w:rPr>
              <w:fldChar w:fldCharType="begin"/>
            </w:r>
            <w:r w:rsidR="006D5A67" w:rsidRPr="00AE0D77">
              <w:rPr>
                <w:webHidden/>
              </w:rPr>
              <w:instrText xml:space="preserve"> PAGEREF _Toc486347635 \h </w:instrText>
            </w:r>
            <w:r w:rsidR="006D5A67" w:rsidRPr="00AE0D77">
              <w:rPr>
                <w:webHidden/>
              </w:rPr>
            </w:r>
            <w:r w:rsidR="006D5A67" w:rsidRPr="00AE0D77">
              <w:rPr>
                <w:webHidden/>
              </w:rPr>
              <w:fldChar w:fldCharType="separate"/>
            </w:r>
            <w:r w:rsidR="00983BF3">
              <w:rPr>
                <w:webHidden/>
              </w:rPr>
              <w:t>40</w:t>
            </w:r>
            <w:r w:rsidR="006D5A67" w:rsidRPr="00AE0D77">
              <w:rPr>
                <w:webHidden/>
              </w:rPr>
              <w:fldChar w:fldCharType="end"/>
            </w:r>
          </w:hyperlink>
        </w:p>
        <w:p w:rsidR="006D5A67" w:rsidRPr="00AE0D77" w:rsidRDefault="00AF6D56">
          <w:pPr>
            <w:pStyle w:val="33"/>
            <w:rPr>
              <w:bCs w:val="0"/>
              <w:sz w:val="24"/>
              <w:szCs w:val="22"/>
            </w:rPr>
          </w:pPr>
          <w:hyperlink w:anchor="_Toc486347636" w:history="1">
            <w:r w:rsidR="006D5A67" w:rsidRPr="00AE0D77">
              <w:rPr>
                <w:rStyle w:val="aff7"/>
              </w:rPr>
              <w:t>（八）金融</w:t>
            </w:r>
            <w:r w:rsidR="006D5A67" w:rsidRPr="00AE0D77">
              <w:rPr>
                <w:webHidden/>
              </w:rPr>
              <w:tab/>
            </w:r>
            <w:r w:rsidR="006D5A67" w:rsidRPr="00AE0D77">
              <w:rPr>
                <w:webHidden/>
              </w:rPr>
              <w:fldChar w:fldCharType="begin"/>
            </w:r>
            <w:r w:rsidR="006D5A67" w:rsidRPr="00AE0D77">
              <w:rPr>
                <w:webHidden/>
              </w:rPr>
              <w:instrText xml:space="preserve"> PAGEREF _Toc486347636 \h </w:instrText>
            </w:r>
            <w:r w:rsidR="006D5A67" w:rsidRPr="00AE0D77">
              <w:rPr>
                <w:webHidden/>
              </w:rPr>
            </w:r>
            <w:r w:rsidR="006D5A67" w:rsidRPr="00AE0D77">
              <w:rPr>
                <w:webHidden/>
              </w:rPr>
              <w:fldChar w:fldCharType="separate"/>
            </w:r>
            <w:r w:rsidR="00983BF3">
              <w:rPr>
                <w:webHidden/>
              </w:rPr>
              <w:t>45</w:t>
            </w:r>
            <w:r w:rsidR="006D5A67" w:rsidRPr="00AE0D77">
              <w:rPr>
                <w:webHidden/>
              </w:rPr>
              <w:fldChar w:fldCharType="end"/>
            </w:r>
          </w:hyperlink>
        </w:p>
        <w:p w:rsidR="006D5A67" w:rsidRPr="00AE0D77" w:rsidRDefault="00AF6D56">
          <w:pPr>
            <w:pStyle w:val="33"/>
            <w:rPr>
              <w:bCs w:val="0"/>
              <w:sz w:val="24"/>
              <w:szCs w:val="22"/>
            </w:rPr>
          </w:pPr>
          <w:hyperlink w:anchor="_Toc486347637" w:history="1">
            <w:r w:rsidR="006D5A67" w:rsidRPr="00AE0D77">
              <w:rPr>
                <w:rStyle w:val="aff7"/>
              </w:rPr>
              <w:t>（九）就業薪資</w:t>
            </w:r>
            <w:r w:rsidR="006D5A67" w:rsidRPr="00AE0D77">
              <w:rPr>
                <w:webHidden/>
              </w:rPr>
              <w:tab/>
            </w:r>
            <w:r w:rsidR="006D5A67" w:rsidRPr="00AE0D77">
              <w:rPr>
                <w:webHidden/>
              </w:rPr>
              <w:fldChar w:fldCharType="begin"/>
            </w:r>
            <w:r w:rsidR="006D5A67" w:rsidRPr="00AE0D77">
              <w:rPr>
                <w:webHidden/>
              </w:rPr>
              <w:instrText xml:space="preserve"> PAGEREF _Toc486347637 \h </w:instrText>
            </w:r>
            <w:r w:rsidR="006D5A67" w:rsidRPr="00AE0D77">
              <w:rPr>
                <w:webHidden/>
              </w:rPr>
            </w:r>
            <w:r w:rsidR="006D5A67" w:rsidRPr="00AE0D77">
              <w:rPr>
                <w:webHidden/>
              </w:rPr>
              <w:fldChar w:fldCharType="separate"/>
            </w:r>
            <w:r w:rsidR="00983BF3">
              <w:rPr>
                <w:webHidden/>
              </w:rPr>
              <w:t>48</w:t>
            </w:r>
            <w:r w:rsidR="006D5A67" w:rsidRPr="00AE0D77">
              <w:rPr>
                <w:webHidden/>
              </w:rPr>
              <w:fldChar w:fldCharType="end"/>
            </w:r>
          </w:hyperlink>
        </w:p>
        <w:p w:rsidR="006D5A67" w:rsidRPr="00AE0D77" w:rsidRDefault="00AF6D56" w:rsidP="006D5A67">
          <w:pPr>
            <w:pStyle w:val="25"/>
            <w:rPr>
              <w:b/>
              <w:sz w:val="24"/>
              <w:szCs w:val="22"/>
              <w:lang w:val="en-US"/>
            </w:rPr>
          </w:pPr>
          <w:hyperlink w:anchor="_Toc486347638" w:history="1">
            <w:r w:rsidR="006D5A67" w:rsidRPr="00AE0D77">
              <w:rPr>
                <w:rStyle w:val="aff7"/>
                <w:b/>
              </w:rPr>
              <w:t>三、中國大陸經濟</w:t>
            </w:r>
            <w:r w:rsidR="006D5A67" w:rsidRPr="00AE0D77">
              <w:rPr>
                <w:webHidden/>
              </w:rPr>
              <w:tab/>
            </w:r>
            <w:r w:rsidR="006D5A67" w:rsidRPr="00CB6156">
              <w:rPr>
                <w:webHidden/>
              </w:rPr>
              <w:fldChar w:fldCharType="begin"/>
            </w:r>
            <w:r w:rsidR="006D5A67" w:rsidRPr="00CB6156">
              <w:rPr>
                <w:webHidden/>
              </w:rPr>
              <w:instrText xml:space="preserve"> PAGEREF _Toc486347638 \h </w:instrText>
            </w:r>
            <w:r w:rsidR="006D5A67" w:rsidRPr="00CB6156">
              <w:rPr>
                <w:webHidden/>
              </w:rPr>
            </w:r>
            <w:r w:rsidR="006D5A67" w:rsidRPr="00CB6156">
              <w:rPr>
                <w:webHidden/>
              </w:rPr>
              <w:fldChar w:fldCharType="separate"/>
            </w:r>
            <w:r w:rsidR="00983BF3">
              <w:rPr>
                <w:webHidden/>
              </w:rPr>
              <w:t>51</w:t>
            </w:r>
            <w:r w:rsidR="006D5A67" w:rsidRPr="00CB6156">
              <w:rPr>
                <w:webHidden/>
              </w:rPr>
              <w:fldChar w:fldCharType="end"/>
            </w:r>
          </w:hyperlink>
        </w:p>
        <w:p w:rsidR="006D5A67" w:rsidRPr="00AE0D77" w:rsidRDefault="00AF6D56">
          <w:pPr>
            <w:pStyle w:val="33"/>
            <w:rPr>
              <w:bCs w:val="0"/>
              <w:sz w:val="24"/>
              <w:szCs w:val="22"/>
            </w:rPr>
          </w:pPr>
          <w:hyperlink w:anchor="_Toc486347639" w:history="1">
            <w:r w:rsidR="006D5A67" w:rsidRPr="00AE0D77">
              <w:rPr>
                <w:rStyle w:val="aff7"/>
              </w:rPr>
              <w:t>（一）固定資產投資</w:t>
            </w:r>
            <w:r w:rsidR="006D5A67" w:rsidRPr="00AE0D77">
              <w:rPr>
                <w:webHidden/>
              </w:rPr>
              <w:tab/>
            </w:r>
            <w:r w:rsidR="006D5A67" w:rsidRPr="00AE0D77">
              <w:rPr>
                <w:webHidden/>
              </w:rPr>
              <w:fldChar w:fldCharType="begin"/>
            </w:r>
            <w:r w:rsidR="006D5A67" w:rsidRPr="00AE0D77">
              <w:rPr>
                <w:webHidden/>
              </w:rPr>
              <w:instrText xml:space="preserve"> PAGEREF _Toc486347639 \h </w:instrText>
            </w:r>
            <w:r w:rsidR="006D5A67" w:rsidRPr="00AE0D77">
              <w:rPr>
                <w:webHidden/>
              </w:rPr>
            </w:r>
            <w:r w:rsidR="006D5A67" w:rsidRPr="00AE0D77">
              <w:rPr>
                <w:webHidden/>
              </w:rPr>
              <w:fldChar w:fldCharType="separate"/>
            </w:r>
            <w:r w:rsidR="00983BF3">
              <w:rPr>
                <w:webHidden/>
              </w:rPr>
              <w:t>51</w:t>
            </w:r>
            <w:r w:rsidR="006D5A67" w:rsidRPr="00AE0D77">
              <w:rPr>
                <w:webHidden/>
              </w:rPr>
              <w:fldChar w:fldCharType="end"/>
            </w:r>
          </w:hyperlink>
        </w:p>
        <w:p w:rsidR="006D5A67" w:rsidRPr="00AE0D77" w:rsidRDefault="00AF6D56">
          <w:pPr>
            <w:pStyle w:val="33"/>
            <w:rPr>
              <w:bCs w:val="0"/>
              <w:sz w:val="24"/>
              <w:szCs w:val="22"/>
            </w:rPr>
          </w:pPr>
          <w:hyperlink w:anchor="_Toc486347640" w:history="1">
            <w:r w:rsidR="006D5A67" w:rsidRPr="00AE0D77">
              <w:rPr>
                <w:rStyle w:val="aff7"/>
              </w:rPr>
              <w:t>（二）吸引外資</w:t>
            </w:r>
            <w:r w:rsidR="006D5A67" w:rsidRPr="00AE0D77">
              <w:rPr>
                <w:webHidden/>
              </w:rPr>
              <w:tab/>
            </w:r>
            <w:r w:rsidR="006D5A67" w:rsidRPr="00AE0D77">
              <w:rPr>
                <w:webHidden/>
              </w:rPr>
              <w:fldChar w:fldCharType="begin"/>
            </w:r>
            <w:r w:rsidR="006D5A67" w:rsidRPr="00AE0D77">
              <w:rPr>
                <w:webHidden/>
              </w:rPr>
              <w:instrText xml:space="preserve"> PAGEREF _Toc486347640 \h </w:instrText>
            </w:r>
            <w:r w:rsidR="006D5A67" w:rsidRPr="00AE0D77">
              <w:rPr>
                <w:webHidden/>
              </w:rPr>
            </w:r>
            <w:r w:rsidR="006D5A67" w:rsidRPr="00AE0D77">
              <w:rPr>
                <w:webHidden/>
              </w:rPr>
              <w:fldChar w:fldCharType="separate"/>
            </w:r>
            <w:r w:rsidR="00983BF3">
              <w:rPr>
                <w:webHidden/>
              </w:rPr>
              <w:t>52</w:t>
            </w:r>
            <w:r w:rsidR="006D5A67" w:rsidRPr="00AE0D77">
              <w:rPr>
                <w:webHidden/>
              </w:rPr>
              <w:fldChar w:fldCharType="end"/>
            </w:r>
          </w:hyperlink>
        </w:p>
        <w:p w:rsidR="006D5A67" w:rsidRPr="00AE0D77" w:rsidRDefault="00AF6D56">
          <w:pPr>
            <w:pStyle w:val="33"/>
            <w:rPr>
              <w:bCs w:val="0"/>
              <w:sz w:val="24"/>
              <w:szCs w:val="22"/>
            </w:rPr>
          </w:pPr>
          <w:hyperlink w:anchor="_Toc486347641" w:history="1">
            <w:r w:rsidR="006D5A67" w:rsidRPr="00AE0D77">
              <w:rPr>
                <w:rStyle w:val="aff7"/>
              </w:rPr>
              <w:t>（三）對外貿易</w:t>
            </w:r>
            <w:r w:rsidR="006D5A67" w:rsidRPr="00AE0D77">
              <w:rPr>
                <w:webHidden/>
              </w:rPr>
              <w:tab/>
            </w:r>
            <w:r w:rsidR="006D5A67" w:rsidRPr="00AE0D77">
              <w:rPr>
                <w:webHidden/>
              </w:rPr>
              <w:fldChar w:fldCharType="begin"/>
            </w:r>
            <w:r w:rsidR="006D5A67" w:rsidRPr="00AE0D77">
              <w:rPr>
                <w:webHidden/>
              </w:rPr>
              <w:instrText xml:space="preserve"> PAGEREF _Toc486347641 \h </w:instrText>
            </w:r>
            <w:r w:rsidR="006D5A67" w:rsidRPr="00AE0D77">
              <w:rPr>
                <w:webHidden/>
              </w:rPr>
            </w:r>
            <w:r w:rsidR="006D5A67" w:rsidRPr="00AE0D77">
              <w:rPr>
                <w:webHidden/>
              </w:rPr>
              <w:fldChar w:fldCharType="separate"/>
            </w:r>
            <w:r w:rsidR="00983BF3">
              <w:rPr>
                <w:webHidden/>
              </w:rPr>
              <w:t>53</w:t>
            </w:r>
            <w:r w:rsidR="006D5A67" w:rsidRPr="00AE0D77">
              <w:rPr>
                <w:webHidden/>
              </w:rPr>
              <w:fldChar w:fldCharType="end"/>
            </w:r>
          </w:hyperlink>
        </w:p>
        <w:p w:rsidR="006D5A67" w:rsidRPr="00AE0D77" w:rsidRDefault="00AF6D56" w:rsidP="006D5A67">
          <w:pPr>
            <w:pStyle w:val="25"/>
            <w:rPr>
              <w:b/>
              <w:sz w:val="24"/>
              <w:szCs w:val="22"/>
              <w:lang w:val="en-US"/>
            </w:rPr>
          </w:pPr>
          <w:hyperlink w:anchor="_Toc486347642" w:history="1">
            <w:r w:rsidR="006D5A67" w:rsidRPr="00AE0D77">
              <w:rPr>
                <w:rStyle w:val="aff7"/>
                <w:b/>
              </w:rPr>
              <w:t>四、兩岸經貿</w:t>
            </w:r>
            <w:r w:rsidR="006D5A67" w:rsidRPr="00AE0D77">
              <w:rPr>
                <w:webHidden/>
              </w:rPr>
              <w:tab/>
            </w:r>
            <w:r w:rsidR="006D5A67" w:rsidRPr="00CB6156">
              <w:rPr>
                <w:webHidden/>
                <w:color w:val="000000" w:themeColor="text1"/>
              </w:rPr>
              <w:fldChar w:fldCharType="begin"/>
            </w:r>
            <w:r w:rsidR="006D5A67" w:rsidRPr="00CB6156">
              <w:rPr>
                <w:webHidden/>
                <w:color w:val="000000" w:themeColor="text1"/>
              </w:rPr>
              <w:instrText xml:space="preserve"> PAGEREF _Toc486347642 \h </w:instrText>
            </w:r>
            <w:r w:rsidR="006D5A67" w:rsidRPr="00CB6156">
              <w:rPr>
                <w:webHidden/>
                <w:color w:val="000000" w:themeColor="text1"/>
              </w:rPr>
            </w:r>
            <w:r w:rsidR="006D5A67" w:rsidRPr="00CB6156">
              <w:rPr>
                <w:webHidden/>
                <w:color w:val="000000" w:themeColor="text1"/>
              </w:rPr>
              <w:fldChar w:fldCharType="separate"/>
            </w:r>
            <w:r w:rsidR="00983BF3">
              <w:rPr>
                <w:webHidden/>
                <w:color w:val="000000" w:themeColor="text1"/>
              </w:rPr>
              <w:t>54</w:t>
            </w:r>
            <w:r w:rsidR="006D5A67" w:rsidRPr="00CB6156">
              <w:rPr>
                <w:webHidden/>
                <w:color w:val="000000" w:themeColor="text1"/>
              </w:rPr>
              <w:fldChar w:fldCharType="end"/>
            </w:r>
          </w:hyperlink>
        </w:p>
        <w:p w:rsidR="006D5A67" w:rsidRPr="00AE0D77" w:rsidRDefault="00AF6D56" w:rsidP="006D5A67">
          <w:pPr>
            <w:pStyle w:val="25"/>
            <w:rPr>
              <w:b/>
              <w:sz w:val="24"/>
              <w:szCs w:val="22"/>
              <w:lang w:val="en-US"/>
            </w:rPr>
          </w:pPr>
          <w:hyperlink w:anchor="_Toc486347643" w:history="1">
            <w:r w:rsidR="006D5A67" w:rsidRPr="00AE0D77">
              <w:rPr>
                <w:rStyle w:val="aff7"/>
                <w:sz w:val="32"/>
                <w:szCs w:val="32"/>
              </w:rPr>
              <w:t>（一）兩岸投資</w:t>
            </w:r>
            <w:r w:rsidR="006D5A67" w:rsidRPr="00AE0D77">
              <w:rPr>
                <w:webHidden/>
              </w:rPr>
              <w:tab/>
            </w:r>
            <w:r w:rsidR="006D5A67" w:rsidRPr="00AE0D77">
              <w:rPr>
                <w:webHidden/>
                <w:sz w:val="32"/>
                <w:szCs w:val="32"/>
              </w:rPr>
              <w:fldChar w:fldCharType="begin"/>
            </w:r>
            <w:r w:rsidR="006D5A67" w:rsidRPr="00AE0D77">
              <w:rPr>
                <w:webHidden/>
                <w:sz w:val="32"/>
                <w:szCs w:val="32"/>
              </w:rPr>
              <w:instrText xml:space="preserve"> PAGEREF _Toc486347643 \h </w:instrText>
            </w:r>
            <w:r w:rsidR="006D5A67" w:rsidRPr="00AE0D77">
              <w:rPr>
                <w:webHidden/>
                <w:sz w:val="32"/>
                <w:szCs w:val="32"/>
              </w:rPr>
            </w:r>
            <w:r w:rsidR="006D5A67" w:rsidRPr="00AE0D77">
              <w:rPr>
                <w:webHidden/>
                <w:sz w:val="32"/>
                <w:szCs w:val="32"/>
              </w:rPr>
              <w:fldChar w:fldCharType="separate"/>
            </w:r>
            <w:r w:rsidR="00983BF3">
              <w:rPr>
                <w:webHidden/>
                <w:sz w:val="32"/>
                <w:szCs w:val="32"/>
              </w:rPr>
              <w:t>54</w:t>
            </w:r>
            <w:r w:rsidR="006D5A67" w:rsidRPr="00AE0D77">
              <w:rPr>
                <w:webHidden/>
                <w:sz w:val="32"/>
                <w:szCs w:val="32"/>
              </w:rPr>
              <w:fldChar w:fldCharType="end"/>
            </w:r>
          </w:hyperlink>
        </w:p>
        <w:p w:rsidR="006D5A67" w:rsidRPr="00AE0D77" w:rsidRDefault="00AF6D56" w:rsidP="006D5A67">
          <w:pPr>
            <w:pStyle w:val="25"/>
            <w:rPr>
              <w:b/>
              <w:sz w:val="24"/>
              <w:szCs w:val="22"/>
              <w:lang w:val="en-US"/>
            </w:rPr>
          </w:pPr>
          <w:hyperlink w:anchor="_Toc486347644" w:history="1">
            <w:r w:rsidR="006D5A67" w:rsidRPr="00AE0D77">
              <w:rPr>
                <w:rStyle w:val="aff7"/>
                <w:sz w:val="32"/>
                <w:szCs w:val="32"/>
              </w:rPr>
              <w:t>（二）兩岸貿易</w:t>
            </w:r>
            <w:r w:rsidR="006D5A67" w:rsidRPr="00AE0D77">
              <w:rPr>
                <w:webHidden/>
              </w:rPr>
              <w:tab/>
            </w:r>
            <w:r w:rsidR="006D5A67" w:rsidRPr="00AE0D77">
              <w:rPr>
                <w:webHidden/>
                <w:sz w:val="32"/>
                <w:szCs w:val="32"/>
              </w:rPr>
              <w:fldChar w:fldCharType="begin"/>
            </w:r>
            <w:r w:rsidR="006D5A67" w:rsidRPr="00AE0D77">
              <w:rPr>
                <w:webHidden/>
                <w:sz w:val="32"/>
                <w:szCs w:val="32"/>
              </w:rPr>
              <w:instrText xml:space="preserve"> PAGEREF _Toc486347644 \h </w:instrText>
            </w:r>
            <w:r w:rsidR="006D5A67" w:rsidRPr="00AE0D77">
              <w:rPr>
                <w:webHidden/>
                <w:sz w:val="32"/>
                <w:szCs w:val="32"/>
              </w:rPr>
            </w:r>
            <w:r w:rsidR="006D5A67" w:rsidRPr="00AE0D77">
              <w:rPr>
                <w:webHidden/>
                <w:sz w:val="32"/>
                <w:szCs w:val="32"/>
              </w:rPr>
              <w:fldChar w:fldCharType="separate"/>
            </w:r>
            <w:r w:rsidR="00983BF3">
              <w:rPr>
                <w:webHidden/>
                <w:sz w:val="32"/>
                <w:szCs w:val="32"/>
              </w:rPr>
              <w:t>56</w:t>
            </w:r>
            <w:r w:rsidR="006D5A67" w:rsidRPr="00AE0D77">
              <w:rPr>
                <w:webHidden/>
                <w:sz w:val="32"/>
                <w:szCs w:val="32"/>
              </w:rPr>
              <w:fldChar w:fldCharType="end"/>
            </w:r>
          </w:hyperlink>
        </w:p>
        <w:p w:rsidR="006D5A67" w:rsidRPr="00AE0D77" w:rsidRDefault="00AF6D56">
          <w:pPr>
            <w:pStyle w:val="19"/>
            <w:rPr>
              <w:b w:val="0"/>
              <w:bCs w:val="0"/>
              <w:caps w:val="0"/>
              <w:sz w:val="24"/>
              <w:szCs w:val="22"/>
            </w:rPr>
          </w:pPr>
          <w:hyperlink w:anchor="_Toc486347645" w:history="1">
            <w:r w:rsidR="006D5A67" w:rsidRPr="00AE0D77">
              <w:rPr>
                <w:rStyle w:val="aff7"/>
              </w:rPr>
              <w:t>肆、專論：</w:t>
            </w:r>
            <w:r w:rsidR="00657B19" w:rsidRPr="00AE0D77">
              <w:rPr>
                <w:rStyle w:val="aff7"/>
              </w:rPr>
              <w:t>從消費</w:t>
            </w:r>
            <w:r w:rsidR="001A1212">
              <w:rPr>
                <w:rStyle w:val="aff7"/>
                <w:rFonts w:hint="eastAsia"/>
              </w:rPr>
              <w:t>的</w:t>
            </w:r>
            <w:r w:rsidR="00657B19" w:rsidRPr="00AE0D77">
              <w:rPr>
                <w:rStyle w:val="aff7"/>
              </w:rPr>
              <w:t>本質淺談刺激消費政策之意涵</w:t>
            </w:r>
            <w:r w:rsidR="001A1212">
              <w:rPr>
                <w:rStyle w:val="aff7"/>
                <w:rFonts w:hint="eastAsia"/>
              </w:rPr>
              <w:t xml:space="preserve"> </w:t>
            </w:r>
            <w:r w:rsidR="006D5A67" w:rsidRPr="00AE0D77">
              <w:rPr>
                <w:webHidden/>
              </w:rPr>
              <w:tab/>
            </w:r>
            <w:r w:rsidR="006D5A67" w:rsidRPr="00CB6156">
              <w:rPr>
                <w:b w:val="0"/>
                <w:webHidden/>
              </w:rPr>
              <w:fldChar w:fldCharType="begin"/>
            </w:r>
            <w:r w:rsidR="006D5A67" w:rsidRPr="00CB6156">
              <w:rPr>
                <w:b w:val="0"/>
                <w:webHidden/>
              </w:rPr>
              <w:instrText xml:space="preserve"> PAGEREF _Toc486347645 \h </w:instrText>
            </w:r>
            <w:r w:rsidR="006D5A67" w:rsidRPr="00CB6156">
              <w:rPr>
                <w:b w:val="0"/>
                <w:webHidden/>
              </w:rPr>
            </w:r>
            <w:r w:rsidR="006D5A67" w:rsidRPr="00CB6156">
              <w:rPr>
                <w:b w:val="0"/>
                <w:webHidden/>
              </w:rPr>
              <w:fldChar w:fldCharType="separate"/>
            </w:r>
            <w:r w:rsidR="00983BF3">
              <w:rPr>
                <w:b w:val="0"/>
                <w:webHidden/>
              </w:rPr>
              <w:t>57</w:t>
            </w:r>
            <w:r w:rsidR="006D5A67" w:rsidRPr="00CB6156">
              <w:rPr>
                <w:b w:val="0"/>
                <w:webHidden/>
              </w:rPr>
              <w:fldChar w:fldCharType="end"/>
            </w:r>
          </w:hyperlink>
        </w:p>
        <w:p w:rsidR="00D7031B" w:rsidRPr="00AE0D77" w:rsidRDefault="00D7031B">
          <w:pPr>
            <w:rPr>
              <w:rFonts w:eastAsia="標楷體"/>
            </w:rPr>
          </w:pPr>
          <w:r w:rsidRPr="00AE0D77">
            <w:rPr>
              <w:rFonts w:eastAsia="標楷體"/>
              <w:b/>
              <w:bCs/>
              <w:lang w:val="zh-TW"/>
            </w:rPr>
            <w:fldChar w:fldCharType="end"/>
          </w:r>
        </w:p>
      </w:sdtContent>
    </w:sdt>
    <w:p w:rsidR="00670CC0" w:rsidRPr="00AE0D77" w:rsidRDefault="00670CC0" w:rsidP="00670CC0">
      <w:pPr>
        <w:rPr>
          <w:rFonts w:eastAsia="標楷體"/>
          <w:b/>
          <w:kern w:val="0"/>
          <w:sz w:val="40"/>
          <w:szCs w:val="40"/>
        </w:rPr>
        <w:sectPr w:rsidR="00670CC0" w:rsidRPr="00AE0D77"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10" w:name="_Toc486347612"/>
      <w:r w:rsidRPr="00AE0D77">
        <w:rPr>
          <w:rFonts w:eastAsia="標楷體"/>
          <w:b/>
          <w:bCs/>
          <w:sz w:val="40"/>
          <w:szCs w:val="36"/>
        </w:rPr>
        <w:lastRenderedPageBreak/>
        <w:t>壹、當前經濟情勢概要</w:t>
      </w:r>
      <w:bookmarkEnd w:id="9"/>
      <w:bookmarkEnd w:id="8"/>
      <w:bookmarkEnd w:id="10"/>
    </w:p>
    <w:p w:rsidR="00514656" w:rsidRPr="00AE0D77"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86347613"/>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AE0D77">
        <w:rPr>
          <w:rFonts w:eastAsia="標楷體"/>
          <w:b/>
          <w:bCs/>
          <w:sz w:val="40"/>
          <w:szCs w:val="36"/>
        </w:rPr>
        <w:t>一、國際經濟</w:t>
      </w:r>
      <w:bookmarkEnd w:id="12"/>
      <w:bookmarkEnd w:id="13"/>
      <w:bookmarkEnd w:id="14"/>
      <w:bookmarkEnd w:id="15"/>
      <w:bookmarkEnd w:id="16"/>
    </w:p>
    <w:p w:rsidR="001C2676" w:rsidRPr="00AE0D77" w:rsidRDefault="001C2676" w:rsidP="001C2676">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AE0D77">
        <w:rPr>
          <w:rFonts w:eastAsia="標楷體"/>
          <w:sz w:val="28"/>
          <w:szCs w:val="28"/>
        </w:rPr>
        <w:t>今</w:t>
      </w:r>
      <w:r w:rsidRPr="00AE0D77">
        <w:rPr>
          <w:rFonts w:eastAsia="標楷體"/>
          <w:sz w:val="28"/>
          <w:szCs w:val="28"/>
        </w:rPr>
        <w:t>(2017)</w:t>
      </w:r>
      <w:r w:rsidRPr="00AE0D77">
        <w:rPr>
          <w:rFonts w:eastAsia="標楷體"/>
          <w:sz w:val="28"/>
          <w:szCs w:val="28"/>
        </w:rPr>
        <w:t>年全球經濟將逐步復甦，惟成長力道疲弱且各國復甦腳步不一，潛存若干下行風險；長期貨幣寬鬆政策邊際效用降低，財政政策將取代貨幣政策作為各國刺激經濟成長的主要工具。根據環球透視機構（</w:t>
      </w:r>
      <w:r w:rsidRPr="00AE0D77">
        <w:rPr>
          <w:rFonts w:eastAsia="標楷體"/>
          <w:sz w:val="28"/>
          <w:szCs w:val="28"/>
        </w:rPr>
        <w:t>Global Insight</w:t>
      </w:r>
      <w:r w:rsidRPr="00AE0D77">
        <w:rPr>
          <w:rFonts w:eastAsia="標楷體"/>
          <w:sz w:val="28"/>
          <w:szCs w:val="28"/>
        </w:rPr>
        <w:t>）今年</w:t>
      </w:r>
      <w:r w:rsidRPr="00AE0D77">
        <w:rPr>
          <w:rFonts w:eastAsia="標楷體"/>
          <w:sz w:val="28"/>
          <w:szCs w:val="28"/>
        </w:rPr>
        <w:t>6</w:t>
      </w:r>
      <w:r w:rsidRPr="00AE0D77">
        <w:rPr>
          <w:rFonts w:eastAsia="標楷體"/>
          <w:sz w:val="28"/>
          <w:szCs w:val="28"/>
        </w:rPr>
        <w:t>月最新預測，今年全球經濟成長</w:t>
      </w:r>
      <w:r w:rsidRPr="00AE0D77">
        <w:rPr>
          <w:rFonts w:eastAsia="標楷體"/>
          <w:sz w:val="28"/>
          <w:szCs w:val="28"/>
        </w:rPr>
        <w:t>3.0%</w:t>
      </w:r>
      <w:r w:rsidRPr="00AE0D77">
        <w:rPr>
          <w:rFonts w:eastAsia="標楷體"/>
          <w:sz w:val="28"/>
          <w:szCs w:val="28"/>
        </w:rPr>
        <w:t>，優於去</w:t>
      </w:r>
      <w:r w:rsidRPr="00AE0D77">
        <w:rPr>
          <w:rFonts w:eastAsia="標楷體"/>
          <w:sz w:val="28"/>
          <w:szCs w:val="28"/>
        </w:rPr>
        <w:t>(2016)</w:t>
      </w:r>
      <w:r w:rsidRPr="00AE0D77">
        <w:rPr>
          <w:rFonts w:eastAsia="標楷體"/>
          <w:sz w:val="28"/>
          <w:szCs w:val="28"/>
        </w:rPr>
        <w:t>年</w:t>
      </w:r>
      <w:r w:rsidRPr="00AE0D77">
        <w:rPr>
          <w:rFonts w:eastAsia="標楷體"/>
          <w:sz w:val="28"/>
          <w:szCs w:val="28"/>
        </w:rPr>
        <w:t>2.5%</w:t>
      </w:r>
      <w:r w:rsidRPr="00AE0D77">
        <w:rPr>
          <w:rFonts w:eastAsia="標楷體"/>
          <w:sz w:val="28"/>
          <w:szCs w:val="28"/>
        </w:rPr>
        <w:t>，明</w:t>
      </w:r>
      <w:r w:rsidRPr="00AE0D77">
        <w:rPr>
          <w:rFonts w:eastAsia="標楷體"/>
          <w:sz w:val="28"/>
          <w:szCs w:val="28"/>
        </w:rPr>
        <w:t>(2018)</w:t>
      </w:r>
      <w:r w:rsidRPr="00AE0D77">
        <w:rPr>
          <w:rFonts w:eastAsia="標楷體"/>
          <w:sz w:val="28"/>
          <w:szCs w:val="28"/>
        </w:rPr>
        <w:t>年預估可望增至</w:t>
      </w:r>
      <w:r w:rsidRPr="00AE0D77">
        <w:rPr>
          <w:rFonts w:eastAsia="標楷體"/>
          <w:sz w:val="28"/>
          <w:szCs w:val="28"/>
        </w:rPr>
        <w:t>3.2%</w:t>
      </w:r>
      <w:r w:rsidRPr="00AE0D77">
        <w:rPr>
          <w:rFonts w:eastAsia="標楷體"/>
          <w:sz w:val="28"/>
          <w:szCs w:val="28"/>
        </w:rPr>
        <w:t>。</w:t>
      </w:r>
    </w:p>
    <w:p w:rsidR="001C2676" w:rsidRPr="00AE0D77" w:rsidRDefault="001C2676" w:rsidP="001C2676">
      <w:pPr>
        <w:autoSpaceDE w:val="0"/>
        <w:autoSpaceDN w:val="0"/>
        <w:adjustRightInd w:val="0"/>
        <w:snapToGrid w:val="0"/>
        <w:spacing w:beforeLines="50" w:before="180" w:line="300" w:lineRule="auto"/>
        <w:ind w:firstLineChars="202" w:firstLine="566"/>
        <w:jc w:val="both"/>
        <w:rPr>
          <w:rFonts w:eastAsia="標楷體"/>
          <w:sz w:val="28"/>
          <w:szCs w:val="28"/>
        </w:rPr>
      </w:pPr>
      <w:r w:rsidRPr="00AE0D77">
        <w:rPr>
          <w:rFonts w:eastAsia="標楷體"/>
          <w:sz w:val="28"/>
          <w:szCs w:val="28"/>
        </w:rPr>
        <w:t>世界銀行於今年</w:t>
      </w:r>
      <w:r w:rsidRPr="00AE0D77">
        <w:rPr>
          <w:rFonts w:eastAsia="標楷體"/>
          <w:sz w:val="28"/>
          <w:szCs w:val="28"/>
        </w:rPr>
        <w:t>6</w:t>
      </w:r>
      <w:r w:rsidRPr="00AE0D77">
        <w:rPr>
          <w:rFonts w:eastAsia="標楷體"/>
          <w:sz w:val="28"/>
          <w:szCs w:val="28"/>
        </w:rPr>
        <w:t>月</w:t>
      </w:r>
      <w:r w:rsidRPr="00AE0D77">
        <w:rPr>
          <w:rFonts w:eastAsia="標楷體"/>
          <w:sz w:val="28"/>
          <w:szCs w:val="28"/>
        </w:rPr>
        <w:t>4</w:t>
      </w:r>
      <w:r w:rsidRPr="00AE0D77">
        <w:rPr>
          <w:rFonts w:eastAsia="標楷體"/>
          <w:sz w:val="28"/>
          <w:szCs w:val="28"/>
        </w:rPr>
        <w:t>日發布全球經濟展望報告指出，隨製造業及貿易回穩，市場信心回溫，大宗商品價格趨穩，預估今年全球經濟成長</w:t>
      </w:r>
      <w:r w:rsidRPr="00AE0D77">
        <w:rPr>
          <w:rFonts w:eastAsia="標楷體"/>
          <w:sz w:val="28"/>
          <w:szCs w:val="28"/>
        </w:rPr>
        <w:t>2.7%</w:t>
      </w:r>
      <w:r w:rsidRPr="00AE0D77">
        <w:rPr>
          <w:rFonts w:eastAsia="標楷體"/>
          <w:sz w:val="28"/>
          <w:szCs w:val="28"/>
        </w:rPr>
        <w:t>，明年為</w:t>
      </w:r>
      <w:r w:rsidRPr="00AE0D77">
        <w:rPr>
          <w:rFonts w:eastAsia="標楷體"/>
          <w:sz w:val="28"/>
          <w:szCs w:val="28"/>
        </w:rPr>
        <w:t>2.9%</w:t>
      </w:r>
      <w:r w:rsidRPr="00AE0D77">
        <w:rPr>
          <w:rFonts w:eastAsia="標楷體"/>
          <w:sz w:val="28"/>
          <w:szCs w:val="28"/>
        </w:rPr>
        <w:t>，維持今年</w:t>
      </w:r>
      <w:r w:rsidRPr="00AE0D77">
        <w:rPr>
          <w:rFonts w:eastAsia="標楷體"/>
          <w:sz w:val="28"/>
          <w:szCs w:val="28"/>
        </w:rPr>
        <w:t>1</w:t>
      </w:r>
      <w:r w:rsidRPr="00AE0D77">
        <w:rPr>
          <w:rFonts w:eastAsia="標楷體"/>
          <w:sz w:val="28"/>
          <w:szCs w:val="28"/>
        </w:rPr>
        <w:t>月之預測。先進經濟體將由去年成長</w:t>
      </w:r>
      <w:r w:rsidRPr="00AE0D77">
        <w:rPr>
          <w:rFonts w:eastAsia="標楷體"/>
          <w:sz w:val="28"/>
          <w:szCs w:val="28"/>
        </w:rPr>
        <w:t>1.7%</w:t>
      </w:r>
      <w:r w:rsidRPr="00AE0D77">
        <w:rPr>
          <w:rFonts w:eastAsia="標楷體"/>
          <w:sz w:val="28"/>
          <w:szCs w:val="28"/>
        </w:rPr>
        <w:t>加速至今年</w:t>
      </w:r>
      <w:r w:rsidRPr="00AE0D77">
        <w:rPr>
          <w:rFonts w:eastAsia="標楷體"/>
          <w:sz w:val="28"/>
          <w:szCs w:val="28"/>
        </w:rPr>
        <w:t>1.9%</w:t>
      </w:r>
      <w:r w:rsidRPr="00AE0D77">
        <w:rPr>
          <w:rFonts w:eastAsia="標楷體"/>
          <w:sz w:val="28"/>
          <w:szCs w:val="28"/>
        </w:rPr>
        <w:t>，明年則降至</w:t>
      </w:r>
      <w:r w:rsidRPr="00AE0D77">
        <w:rPr>
          <w:rFonts w:eastAsia="標楷體"/>
          <w:sz w:val="28"/>
          <w:szCs w:val="28"/>
        </w:rPr>
        <w:t>1.8%</w:t>
      </w:r>
      <w:r w:rsidRPr="00AE0D77">
        <w:rPr>
          <w:rFonts w:eastAsia="標楷體"/>
          <w:sz w:val="28"/>
          <w:szCs w:val="28"/>
        </w:rPr>
        <w:t>；新興市場及發展中經濟體增速則由去年的</w:t>
      </w:r>
      <w:r w:rsidRPr="00AE0D77">
        <w:rPr>
          <w:rFonts w:eastAsia="標楷體"/>
          <w:sz w:val="28"/>
          <w:szCs w:val="28"/>
        </w:rPr>
        <w:t>3.5%</w:t>
      </w:r>
      <w:r w:rsidRPr="00AE0D77">
        <w:rPr>
          <w:rFonts w:eastAsia="標楷體"/>
          <w:sz w:val="28"/>
          <w:szCs w:val="28"/>
        </w:rPr>
        <w:t>上升至今年</w:t>
      </w:r>
      <w:r w:rsidRPr="00AE0D77">
        <w:rPr>
          <w:rFonts w:eastAsia="標楷體"/>
          <w:sz w:val="28"/>
          <w:szCs w:val="28"/>
        </w:rPr>
        <w:t>4.1%</w:t>
      </w:r>
      <w:r w:rsidRPr="00AE0D77">
        <w:rPr>
          <w:rFonts w:eastAsia="標楷體"/>
          <w:sz w:val="28"/>
          <w:szCs w:val="28"/>
        </w:rPr>
        <w:t>，明年將進一步擴增至</w:t>
      </w:r>
      <w:r w:rsidRPr="00AE0D77">
        <w:rPr>
          <w:rFonts w:eastAsia="標楷體"/>
          <w:sz w:val="28"/>
          <w:szCs w:val="28"/>
        </w:rPr>
        <w:t>4.5%</w:t>
      </w:r>
      <w:r w:rsidRPr="00AE0D77">
        <w:rPr>
          <w:rFonts w:eastAsia="標楷體"/>
          <w:sz w:val="28"/>
          <w:szCs w:val="28"/>
        </w:rPr>
        <w:t>。世界貿易量由去年</w:t>
      </w:r>
      <w:r w:rsidRPr="00AE0D77">
        <w:rPr>
          <w:rFonts w:eastAsia="標楷體"/>
          <w:sz w:val="28"/>
          <w:szCs w:val="28"/>
        </w:rPr>
        <w:t>2.5%</w:t>
      </w:r>
      <w:r w:rsidRPr="00AE0D77">
        <w:rPr>
          <w:rFonts w:eastAsia="標楷體"/>
          <w:sz w:val="28"/>
          <w:szCs w:val="28"/>
        </w:rPr>
        <w:t>回升至今年</w:t>
      </w:r>
      <w:r w:rsidRPr="00AE0D77">
        <w:rPr>
          <w:rFonts w:eastAsia="標楷體"/>
          <w:sz w:val="28"/>
          <w:szCs w:val="28"/>
        </w:rPr>
        <w:t>4.0%</w:t>
      </w:r>
      <w:r w:rsidRPr="00AE0D77">
        <w:rPr>
          <w:rFonts w:eastAsia="標楷體"/>
          <w:sz w:val="28"/>
          <w:szCs w:val="28"/>
        </w:rPr>
        <w:t>，主要係先進經濟體投資增強、中國大陸貿易增加，以及商品出口之新興與發展中經濟體進口需求改善。然貿易自由化進程緩慢、價值鏈整合減弱及貿易政策不確定性影響中期前景。</w:t>
      </w:r>
    </w:p>
    <w:p w:rsidR="00E55B7A" w:rsidRPr="00AE0D77" w:rsidRDefault="001C2676" w:rsidP="001C2676">
      <w:pPr>
        <w:autoSpaceDE w:val="0"/>
        <w:autoSpaceDN w:val="0"/>
        <w:adjustRightInd w:val="0"/>
        <w:snapToGrid w:val="0"/>
        <w:spacing w:beforeLines="50" w:before="180" w:line="300" w:lineRule="auto"/>
        <w:ind w:firstLineChars="202" w:firstLine="566"/>
        <w:jc w:val="both"/>
        <w:rPr>
          <w:rFonts w:eastAsia="標楷體"/>
          <w:sz w:val="28"/>
          <w:szCs w:val="28"/>
        </w:rPr>
      </w:pPr>
      <w:r w:rsidRPr="00AE0D77">
        <w:rPr>
          <w:rFonts w:eastAsia="標楷體"/>
          <w:sz w:val="28"/>
          <w:szCs w:val="28"/>
        </w:rPr>
        <w:t>當前國際經濟仍面臨諸多風險變數，值得持續關注，包括美國新政府經貿政策走向及升息速度、中國大陸供應鏈在地化及結構調整、英國脫歐協商方向、地緣政治風險、國際原油及大宗商品價格變動、全球金融市場及股匯市波動，以及貿易保護主義等，皆影響國際經濟前景</w:t>
      </w:r>
      <w:r w:rsidR="00C67610" w:rsidRPr="00AE0D77">
        <w:rPr>
          <w:rFonts w:eastAsia="標楷體"/>
          <w:sz w:val="28"/>
          <w:szCs w:val="28"/>
        </w:rPr>
        <w:t>。</w:t>
      </w:r>
    </w:p>
    <w:p w:rsidR="003F3F99" w:rsidRPr="00AE0D77" w:rsidRDefault="003F3F99" w:rsidP="00D62C2C">
      <w:pPr>
        <w:keepNext/>
        <w:adjustRightInd w:val="0"/>
        <w:snapToGrid w:val="0"/>
        <w:spacing w:beforeLines="100" w:before="360" w:line="300" w:lineRule="auto"/>
        <w:outlineLvl w:val="1"/>
        <w:rPr>
          <w:rFonts w:eastAsia="標楷體"/>
          <w:b/>
          <w:bCs/>
          <w:sz w:val="40"/>
          <w:szCs w:val="36"/>
        </w:rPr>
      </w:pPr>
      <w:bookmarkStart w:id="26" w:name="_Toc486347614"/>
      <w:r w:rsidRPr="00AE0D77">
        <w:rPr>
          <w:rFonts w:eastAsia="標楷體"/>
          <w:b/>
          <w:bCs/>
          <w:sz w:val="40"/>
          <w:szCs w:val="36"/>
        </w:rPr>
        <w:t>二、國內經濟</w:t>
      </w:r>
      <w:bookmarkEnd w:id="21"/>
      <w:bookmarkEnd w:id="22"/>
      <w:bookmarkEnd w:id="23"/>
      <w:bookmarkEnd w:id="24"/>
      <w:bookmarkEnd w:id="25"/>
      <w:bookmarkEnd w:id="26"/>
    </w:p>
    <w:p w:rsidR="00915038" w:rsidRPr="00AE0D77" w:rsidRDefault="00915038" w:rsidP="00915038">
      <w:pPr>
        <w:autoSpaceDE w:val="0"/>
        <w:autoSpaceDN w:val="0"/>
        <w:adjustRightInd w:val="0"/>
        <w:snapToGrid w:val="0"/>
        <w:spacing w:beforeLines="50" w:before="180" w:line="300" w:lineRule="auto"/>
        <w:ind w:firstLineChars="202" w:firstLine="566"/>
        <w:jc w:val="both"/>
        <w:rPr>
          <w:rFonts w:eastAsia="標楷體"/>
          <w:sz w:val="28"/>
          <w:szCs w:val="28"/>
        </w:rPr>
      </w:pPr>
      <w:bookmarkStart w:id="27" w:name="_Toc368324010"/>
      <w:bookmarkStart w:id="28" w:name="_Toc402171698"/>
      <w:r w:rsidRPr="00AE0D77">
        <w:rPr>
          <w:rFonts w:eastAsia="標楷體"/>
          <w:sz w:val="28"/>
          <w:szCs w:val="28"/>
        </w:rPr>
        <w:t>隨國</w:t>
      </w:r>
      <w:r w:rsidR="00DF5F94" w:rsidRPr="00AE0D77">
        <w:rPr>
          <w:rFonts w:eastAsia="標楷體"/>
          <w:sz w:val="28"/>
          <w:szCs w:val="28"/>
        </w:rPr>
        <w:t>際</w:t>
      </w:r>
      <w:r w:rsidRPr="00AE0D77">
        <w:rPr>
          <w:rFonts w:eastAsia="標楷體"/>
          <w:sz w:val="28"/>
          <w:szCs w:val="28"/>
        </w:rPr>
        <w:t>景氣回溫，國際貨幣基金</w:t>
      </w:r>
      <w:r w:rsidRPr="00AE0D77">
        <w:rPr>
          <w:rFonts w:eastAsia="標楷體"/>
          <w:sz w:val="28"/>
          <w:szCs w:val="28"/>
        </w:rPr>
        <w:t>(IMF)</w:t>
      </w:r>
      <w:r w:rsidRPr="00AE0D77">
        <w:rPr>
          <w:rFonts w:eastAsia="標楷體"/>
          <w:sz w:val="28"/>
          <w:szCs w:val="28"/>
        </w:rPr>
        <w:t>預估今年世界貿易量略高於去年，有助推升我國出口，加以政府積極落實提振景氣措施，以及半導體與相關供應鏈業者高階製程投資可望延續，有助維繫民間消費及投資成長動能。行政院主計總處預測</w:t>
      </w:r>
      <w:r w:rsidRPr="00AE0D77">
        <w:rPr>
          <w:rFonts w:eastAsia="標楷體"/>
          <w:sz w:val="28"/>
          <w:szCs w:val="28"/>
        </w:rPr>
        <w:t>106</w:t>
      </w:r>
      <w:r w:rsidRPr="00AE0D77">
        <w:rPr>
          <w:rFonts w:eastAsia="標楷體"/>
          <w:sz w:val="28"/>
          <w:szCs w:val="28"/>
        </w:rPr>
        <w:t>年</w:t>
      </w:r>
      <w:r w:rsidR="00C63CBD">
        <w:rPr>
          <w:rFonts w:eastAsia="標楷體" w:hint="eastAsia"/>
          <w:sz w:val="28"/>
          <w:szCs w:val="28"/>
        </w:rPr>
        <w:t>經濟</w:t>
      </w:r>
      <w:r w:rsidRPr="00AE0D77">
        <w:rPr>
          <w:rFonts w:eastAsia="標楷體"/>
          <w:sz w:val="28"/>
          <w:szCs w:val="28"/>
        </w:rPr>
        <w:t>成長</w:t>
      </w:r>
      <w:r w:rsidRPr="00AE0D77">
        <w:rPr>
          <w:rFonts w:eastAsia="標楷體"/>
          <w:sz w:val="28"/>
          <w:szCs w:val="28"/>
        </w:rPr>
        <w:t>2.05%</w:t>
      </w:r>
      <w:r w:rsidRPr="00AE0D77">
        <w:rPr>
          <w:rFonts w:eastAsia="標楷體"/>
          <w:sz w:val="28"/>
          <w:szCs w:val="28"/>
        </w:rPr>
        <w:t>。</w:t>
      </w:r>
    </w:p>
    <w:p w:rsidR="00915038" w:rsidRPr="00AE0D77" w:rsidRDefault="00915038" w:rsidP="00915038">
      <w:pPr>
        <w:autoSpaceDE w:val="0"/>
        <w:autoSpaceDN w:val="0"/>
        <w:adjustRightInd w:val="0"/>
        <w:snapToGrid w:val="0"/>
        <w:spacing w:beforeLines="50" w:before="180" w:line="300" w:lineRule="auto"/>
        <w:ind w:firstLineChars="202" w:firstLine="566"/>
        <w:jc w:val="both"/>
        <w:rPr>
          <w:rFonts w:eastAsia="標楷體"/>
          <w:sz w:val="28"/>
          <w:szCs w:val="28"/>
        </w:rPr>
      </w:pPr>
      <w:r w:rsidRPr="00AE0D77">
        <w:rPr>
          <w:rFonts w:eastAsia="標楷體"/>
          <w:sz w:val="28"/>
          <w:szCs w:val="28"/>
        </w:rPr>
        <w:lastRenderedPageBreak/>
        <w:t>經濟指標方面，</w:t>
      </w:r>
      <w:r w:rsidRPr="00AE0D77">
        <w:rPr>
          <w:rFonts w:eastAsia="標楷體"/>
          <w:sz w:val="28"/>
          <w:szCs w:val="28"/>
        </w:rPr>
        <w:t>106</w:t>
      </w:r>
      <w:r w:rsidRPr="00AE0D77">
        <w:rPr>
          <w:rFonts w:eastAsia="標楷體"/>
          <w:sz w:val="28"/>
          <w:szCs w:val="28"/>
        </w:rPr>
        <w:t>年</w:t>
      </w:r>
      <w:r w:rsidRPr="00AE0D77">
        <w:rPr>
          <w:rFonts w:eastAsia="標楷體"/>
          <w:sz w:val="28"/>
          <w:szCs w:val="28"/>
        </w:rPr>
        <w:t>5</w:t>
      </w:r>
      <w:r w:rsidRPr="00AE0D77">
        <w:rPr>
          <w:rFonts w:eastAsia="標楷體"/>
          <w:sz w:val="28"/>
          <w:szCs w:val="28"/>
        </w:rPr>
        <w:t>月工業生產增加</w:t>
      </w:r>
      <w:r w:rsidRPr="00AE0D77">
        <w:rPr>
          <w:rFonts w:eastAsia="標楷體"/>
          <w:sz w:val="28"/>
          <w:szCs w:val="28"/>
        </w:rPr>
        <w:t>0.78%</w:t>
      </w:r>
      <w:r w:rsidRPr="00AE0D77">
        <w:rPr>
          <w:rFonts w:eastAsia="標楷體"/>
          <w:sz w:val="28"/>
          <w:szCs w:val="28"/>
        </w:rPr>
        <w:t>；批發業、零售及餐飲業營業額分別增加</w:t>
      </w:r>
      <w:r w:rsidRPr="00AE0D77">
        <w:rPr>
          <w:rFonts w:eastAsia="標楷體"/>
          <w:sz w:val="28"/>
          <w:szCs w:val="28"/>
        </w:rPr>
        <w:t>3.5%</w:t>
      </w:r>
      <w:r w:rsidRPr="00AE0D77">
        <w:rPr>
          <w:rFonts w:eastAsia="標楷體"/>
          <w:sz w:val="28"/>
          <w:szCs w:val="28"/>
        </w:rPr>
        <w:t>、</w:t>
      </w:r>
      <w:r w:rsidRPr="00AE0D77">
        <w:rPr>
          <w:rFonts w:eastAsia="標楷體"/>
          <w:sz w:val="28"/>
          <w:szCs w:val="28"/>
        </w:rPr>
        <w:t>1.0%</w:t>
      </w:r>
      <w:r w:rsidRPr="00AE0D77">
        <w:rPr>
          <w:rFonts w:eastAsia="標楷體"/>
          <w:sz w:val="28"/>
          <w:szCs w:val="28"/>
        </w:rPr>
        <w:t>、</w:t>
      </w:r>
      <w:r w:rsidRPr="00AE0D77">
        <w:rPr>
          <w:rFonts w:eastAsia="標楷體"/>
          <w:sz w:val="28"/>
          <w:szCs w:val="28"/>
        </w:rPr>
        <w:t>2.7%</w:t>
      </w:r>
      <w:r w:rsidRPr="00AE0D77">
        <w:rPr>
          <w:rFonts w:eastAsia="標楷體"/>
          <w:sz w:val="28"/>
          <w:szCs w:val="28"/>
        </w:rPr>
        <w:t>；外銷訂單金額</w:t>
      </w:r>
      <w:r w:rsidRPr="00AE0D77">
        <w:rPr>
          <w:rFonts w:eastAsia="標楷體"/>
          <w:sz w:val="28"/>
          <w:szCs w:val="28"/>
        </w:rPr>
        <w:t>368.1</w:t>
      </w:r>
      <w:r w:rsidRPr="00AE0D77">
        <w:rPr>
          <w:rFonts w:eastAsia="標楷體"/>
          <w:sz w:val="28"/>
          <w:szCs w:val="28"/>
        </w:rPr>
        <w:t>億美元，增加</w:t>
      </w:r>
      <w:r w:rsidRPr="00AE0D77">
        <w:rPr>
          <w:rFonts w:eastAsia="標楷體"/>
          <w:sz w:val="28"/>
          <w:szCs w:val="28"/>
        </w:rPr>
        <w:t>9.1%</w:t>
      </w:r>
      <w:r w:rsidRPr="00AE0D77">
        <w:rPr>
          <w:rFonts w:eastAsia="標楷體"/>
          <w:sz w:val="28"/>
          <w:szCs w:val="28"/>
        </w:rPr>
        <w:t>；出口值</w:t>
      </w:r>
      <w:r w:rsidRPr="00AE0D77">
        <w:rPr>
          <w:rFonts w:eastAsia="標楷體"/>
          <w:sz w:val="28"/>
          <w:szCs w:val="28"/>
        </w:rPr>
        <w:t>255.2</w:t>
      </w:r>
      <w:r w:rsidRPr="00AE0D77">
        <w:rPr>
          <w:rFonts w:eastAsia="標楷體"/>
          <w:sz w:val="28"/>
          <w:szCs w:val="28"/>
        </w:rPr>
        <w:t>億美元，增加</w:t>
      </w:r>
      <w:r w:rsidRPr="00AE0D77">
        <w:rPr>
          <w:rFonts w:eastAsia="標楷體"/>
          <w:sz w:val="28"/>
          <w:szCs w:val="28"/>
        </w:rPr>
        <w:t>8.4%</w:t>
      </w:r>
      <w:r w:rsidRPr="00AE0D77">
        <w:rPr>
          <w:rFonts w:eastAsia="標楷體"/>
          <w:sz w:val="28"/>
          <w:szCs w:val="28"/>
        </w:rPr>
        <w:t>，進口值</w:t>
      </w:r>
      <w:r w:rsidRPr="00AE0D77">
        <w:rPr>
          <w:rFonts w:eastAsia="標楷體"/>
          <w:sz w:val="28"/>
          <w:szCs w:val="28"/>
        </w:rPr>
        <w:t>220.7</w:t>
      </w:r>
      <w:r w:rsidRPr="00AE0D77">
        <w:rPr>
          <w:rFonts w:eastAsia="標楷體"/>
          <w:sz w:val="28"/>
          <w:szCs w:val="28"/>
        </w:rPr>
        <w:t>億美元，增加</w:t>
      </w:r>
      <w:r w:rsidRPr="00AE0D77">
        <w:rPr>
          <w:rFonts w:eastAsia="標楷體"/>
          <w:sz w:val="28"/>
          <w:szCs w:val="28"/>
        </w:rPr>
        <w:t>10.2%</w:t>
      </w:r>
      <w:r w:rsidRPr="00AE0D77">
        <w:rPr>
          <w:rFonts w:eastAsia="標楷體"/>
          <w:sz w:val="28"/>
          <w:szCs w:val="28"/>
        </w:rPr>
        <w:t>，貿易出超</w:t>
      </w:r>
      <w:r w:rsidRPr="00AE0D77">
        <w:rPr>
          <w:rFonts w:eastAsia="標楷體"/>
          <w:sz w:val="28"/>
          <w:szCs w:val="28"/>
        </w:rPr>
        <w:t>34.6</w:t>
      </w:r>
      <w:r w:rsidRPr="00AE0D77">
        <w:rPr>
          <w:rFonts w:eastAsia="標楷體"/>
          <w:sz w:val="28"/>
          <w:szCs w:val="28"/>
        </w:rPr>
        <w:t>億美元；躉售物價指數</w:t>
      </w:r>
      <w:r w:rsidRPr="00AE0D77">
        <w:rPr>
          <w:rFonts w:eastAsia="標楷體"/>
          <w:sz w:val="28"/>
          <w:szCs w:val="28"/>
        </w:rPr>
        <w:t>(WPI)</w:t>
      </w:r>
      <w:r w:rsidRPr="00AE0D77">
        <w:rPr>
          <w:rFonts w:eastAsia="標楷體"/>
          <w:sz w:val="28"/>
          <w:szCs w:val="28"/>
        </w:rPr>
        <w:t>下跌</w:t>
      </w:r>
      <w:r w:rsidRPr="00AE0D77">
        <w:rPr>
          <w:rFonts w:eastAsia="標楷體"/>
          <w:sz w:val="28"/>
          <w:szCs w:val="28"/>
        </w:rPr>
        <w:t>1.12%</w:t>
      </w:r>
      <w:r w:rsidRPr="00AE0D77">
        <w:rPr>
          <w:rFonts w:eastAsia="標楷體"/>
          <w:sz w:val="28"/>
          <w:szCs w:val="28"/>
        </w:rPr>
        <w:t>，消費者物價指數</w:t>
      </w:r>
      <w:r w:rsidRPr="00AE0D77">
        <w:rPr>
          <w:rFonts w:eastAsia="標楷體"/>
          <w:sz w:val="28"/>
          <w:szCs w:val="28"/>
        </w:rPr>
        <w:t>(CPI)</w:t>
      </w:r>
      <w:r w:rsidRPr="00AE0D77">
        <w:rPr>
          <w:rFonts w:eastAsia="標楷體"/>
          <w:sz w:val="28"/>
          <w:szCs w:val="28"/>
        </w:rPr>
        <w:t>上漲</w:t>
      </w:r>
      <w:r w:rsidRPr="00AE0D77">
        <w:rPr>
          <w:rFonts w:eastAsia="標楷體"/>
          <w:sz w:val="28"/>
          <w:szCs w:val="28"/>
        </w:rPr>
        <w:t>0.59%</w:t>
      </w:r>
      <w:r w:rsidRPr="00AE0D77">
        <w:rPr>
          <w:rFonts w:eastAsia="標楷體"/>
          <w:sz w:val="28"/>
          <w:szCs w:val="28"/>
        </w:rPr>
        <w:t>；失業率</w:t>
      </w:r>
      <w:r w:rsidRPr="00AE0D77">
        <w:rPr>
          <w:rFonts w:eastAsia="標楷體"/>
          <w:sz w:val="28"/>
          <w:szCs w:val="28"/>
        </w:rPr>
        <w:t>3.66%</w:t>
      </w:r>
      <w:r w:rsidRPr="00AE0D77">
        <w:rPr>
          <w:rFonts w:eastAsia="標楷體"/>
          <w:sz w:val="28"/>
          <w:szCs w:val="28"/>
        </w:rPr>
        <w:t>。</w:t>
      </w:r>
    </w:p>
    <w:p w:rsidR="00E159BD" w:rsidRPr="00AE0D77" w:rsidRDefault="00DE6C6F" w:rsidP="00915038">
      <w:pPr>
        <w:autoSpaceDE w:val="0"/>
        <w:autoSpaceDN w:val="0"/>
        <w:adjustRightInd w:val="0"/>
        <w:snapToGrid w:val="0"/>
        <w:spacing w:beforeLines="50" w:before="180" w:line="300" w:lineRule="auto"/>
        <w:ind w:firstLineChars="202" w:firstLine="566"/>
        <w:jc w:val="both"/>
        <w:rPr>
          <w:rFonts w:eastAsia="標楷體"/>
          <w:sz w:val="28"/>
          <w:szCs w:val="28"/>
        </w:rPr>
      </w:pPr>
      <w:r w:rsidRPr="00AE0D77">
        <w:rPr>
          <w:rFonts w:eastAsia="標楷體"/>
          <w:color w:val="000000" w:themeColor="text1"/>
          <w:sz w:val="28"/>
          <w:szCs w:val="28"/>
        </w:rPr>
        <w:t>106</w:t>
      </w:r>
      <w:r w:rsidRPr="00AE0D77">
        <w:rPr>
          <w:rFonts w:eastAsia="標楷體"/>
          <w:color w:val="000000" w:themeColor="text1"/>
          <w:sz w:val="28"/>
          <w:szCs w:val="28"/>
        </w:rPr>
        <w:t>年</w:t>
      </w:r>
      <w:r w:rsidRPr="00AE0D77">
        <w:rPr>
          <w:rFonts w:eastAsia="標楷體"/>
          <w:color w:val="000000" w:themeColor="text1"/>
          <w:sz w:val="28"/>
          <w:szCs w:val="28"/>
        </w:rPr>
        <w:t>5</w:t>
      </w:r>
      <w:r w:rsidRPr="00AE0D77">
        <w:rPr>
          <w:rFonts w:eastAsia="標楷體"/>
          <w:color w:val="000000" w:themeColor="text1"/>
          <w:sz w:val="28"/>
          <w:szCs w:val="28"/>
        </w:rPr>
        <w:t>月景氣對策信號續呈黃藍燈，景氣領先、同時指標</w:t>
      </w:r>
      <w:r w:rsidR="00C63CBD">
        <w:rPr>
          <w:rFonts w:eastAsia="標楷體" w:hint="eastAsia"/>
          <w:color w:val="000000" w:themeColor="text1"/>
          <w:sz w:val="28"/>
          <w:szCs w:val="28"/>
        </w:rPr>
        <w:t>亦續呈</w:t>
      </w:r>
      <w:r w:rsidRPr="00AE0D77">
        <w:rPr>
          <w:rFonts w:eastAsia="標楷體"/>
          <w:color w:val="000000" w:themeColor="text1"/>
          <w:sz w:val="28"/>
          <w:szCs w:val="28"/>
        </w:rPr>
        <w:t>下跌，</w:t>
      </w:r>
      <w:r w:rsidR="00C63CBD">
        <w:rPr>
          <w:rFonts w:eastAsia="標楷體" w:hint="eastAsia"/>
          <w:color w:val="000000" w:themeColor="text1"/>
          <w:sz w:val="28"/>
          <w:szCs w:val="28"/>
        </w:rPr>
        <w:t>顯示</w:t>
      </w:r>
      <w:r w:rsidR="00DF2825" w:rsidRPr="00AE0D77">
        <w:rPr>
          <w:rFonts w:eastAsia="標楷體"/>
          <w:color w:val="000000" w:themeColor="text1"/>
          <w:sz w:val="28"/>
          <w:szCs w:val="28"/>
        </w:rPr>
        <w:t>景氣</w:t>
      </w:r>
      <w:bookmarkStart w:id="29" w:name="_GoBack"/>
      <w:bookmarkEnd w:id="29"/>
      <w:r w:rsidR="00C63CBD">
        <w:rPr>
          <w:rFonts w:eastAsia="標楷體" w:hint="eastAsia"/>
          <w:color w:val="000000" w:themeColor="text1"/>
          <w:sz w:val="28"/>
          <w:szCs w:val="28"/>
        </w:rPr>
        <w:t>復甦動能不夠強勁</w:t>
      </w:r>
      <w:r w:rsidRPr="00AE0D77">
        <w:rPr>
          <w:rFonts w:eastAsia="標楷體"/>
          <w:color w:val="000000" w:themeColor="text1"/>
          <w:sz w:val="28"/>
          <w:szCs w:val="28"/>
        </w:rPr>
        <w:t>。展望未來，全球經濟前景持續樂觀，加以行動裝置創新升級效應，有利我國出口成長，惟須注意美國升息時程、全球貿易保護主義與地緣政治緊張升溫等國際潛存風險</w:t>
      </w:r>
      <w:r w:rsidR="00915038" w:rsidRPr="00AE0D77">
        <w:rPr>
          <w:rFonts w:eastAsia="標楷體"/>
          <w:sz w:val="28"/>
          <w:szCs w:val="28"/>
        </w:rPr>
        <w:t>。</w:t>
      </w:r>
    </w:p>
    <w:p w:rsidR="00AD12FA" w:rsidRPr="00AE0D77"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486347615"/>
      <w:r w:rsidRPr="00AE0D77">
        <w:rPr>
          <w:rFonts w:eastAsia="標楷體"/>
          <w:b/>
          <w:bCs/>
          <w:sz w:val="40"/>
          <w:szCs w:val="36"/>
        </w:rPr>
        <w:t>三、中國大陸經濟</w:t>
      </w:r>
      <w:bookmarkEnd w:id="27"/>
      <w:bookmarkEnd w:id="28"/>
      <w:bookmarkEnd w:id="30"/>
    </w:p>
    <w:p w:rsidR="008416A3" w:rsidRPr="00AE0D77" w:rsidRDefault="00833DBD" w:rsidP="008416A3">
      <w:pPr>
        <w:autoSpaceDE w:val="0"/>
        <w:autoSpaceDN w:val="0"/>
        <w:adjustRightInd w:val="0"/>
        <w:snapToGrid w:val="0"/>
        <w:spacing w:before="120" w:line="300" w:lineRule="auto"/>
        <w:ind w:firstLineChars="202" w:firstLine="566"/>
        <w:jc w:val="both"/>
        <w:rPr>
          <w:rFonts w:eastAsia="標楷體"/>
          <w:sz w:val="28"/>
          <w:szCs w:val="28"/>
        </w:rPr>
      </w:pPr>
      <w:r w:rsidRPr="00AE0D77">
        <w:rPr>
          <w:rFonts w:eastAsia="標楷體"/>
          <w:sz w:val="28"/>
          <w:szCs w:val="28"/>
        </w:rPr>
        <w:t>中國大陸人民大學國家發展與戰略研究院</w:t>
      </w:r>
      <w:r w:rsidRPr="00AE0D77">
        <w:rPr>
          <w:rFonts w:eastAsia="標楷體"/>
          <w:sz w:val="28"/>
          <w:szCs w:val="28"/>
        </w:rPr>
        <w:t>6</w:t>
      </w:r>
      <w:r w:rsidRPr="00AE0D77">
        <w:rPr>
          <w:rFonts w:eastAsia="標楷體"/>
          <w:sz w:val="28"/>
          <w:szCs w:val="28"/>
        </w:rPr>
        <w:t>月</w:t>
      </w:r>
      <w:r w:rsidRPr="00AE0D77">
        <w:rPr>
          <w:rFonts w:eastAsia="標楷體"/>
          <w:sz w:val="28"/>
          <w:szCs w:val="28"/>
        </w:rPr>
        <w:t>18</w:t>
      </w:r>
      <w:r w:rsidRPr="00AE0D77">
        <w:rPr>
          <w:rFonts w:eastAsia="標楷體"/>
          <w:sz w:val="28"/>
          <w:szCs w:val="28"/>
        </w:rPr>
        <w:t>日發布《大陸宏觀經濟分析與預測</w:t>
      </w:r>
      <w:r w:rsidRPr="00AE0D77">
        <w:rPr>
          <w:rFonts w:eastAsia="標楷體"/>
          <w:sz w:val="28"/>
          <w:szCs w:val="28"/>
        </w:rPr>
        <w:t>(2017</w:t>
      </w:r>
      <w:r w:rsidRPr="00AE0D77">
        <w:rPr>
          <w:rFonts w:eastAsia="標楷體"/>
          <w:sz w:val="28"/>
          <w:szCs w:val="28"/>
        </w:rPr>
        <w:t>年中期</w:t>
      </w:r>
      <w:r w:rsidRPr="00AE0D77">
        <w:rPr>
          <w:rFonts w:eastAsia="標楷體"/>
          <w:sz w:val="28"/>
          <w:szCs w:val="28"/>
        </w:rPr>
        <w:t>)</w:t>
      </w:r>
      <w:r w:rsidRPr="00AE0D77">
        <w:rPr>
          <w:rFonts w:eastAsia="標楷體"/>
          <w:sz w:val="28"/>
          <w:szCs w:val="28"/>
        </w:rPr>
        <w:t>》報告，預估今年中國大陸</w:t>
      </w:r>
      <w:r w:rsidRPr="00AE0D77">
        <w:rPr>
          <w:rFonts w:eastAsia="標楷體"/>
          <w:sz w:val="28"/>
          <w:szCs w:val="28"/>
        </w:rPr>
        <w:t>GDP</w:t>
      </w:r>
      <w:r w:rsidRPr="00AE0D77">
        <w:rPr>
          <w:rFonts w:eastAsia="標楷體"/>
          <w:sz w:val="28"/>
          <w:szCs w:val="28"/>
        </w:rPr>
        <w:t>成長率為</w:t>
      </w:r>
      <w:r w:rsidRPr="00AE0D77">
        <w:rPr>
          <w:rFonts w:eastAsia="標楷體"/>
          <w:sz w:val="28"/>
          <w:szCs w:val="28"/>
        </w:rPr>
        <w:t>6.7%</w:t>
      </w:r>
      <w:r w:rsidRPr="00AE0D77">
        <w:rPr>
          <w:rFonts w:eastAsia="標楷體"/>
          <w:sz w:val="28"/>
          <w:szCs w:val="28"/>
        </w:rPr>
        <w:t>，與去</w:t>
      </w:r>
      <w:r w:rsidRPr="00AE0D77">
        <w:rPr>
          <w:rFonts w:eastAsia="標楷體"/>
          <w:sz w:val="28"/>
          <w:szCs w:val="28"/>
        </w:rPr>
        <w:t>(2016)</w:t>
      </w:r>
      <w:r w:rsidRPr="00AE0D77">
        <w:rPr>
          <w:rFonts w:eastAsia="標楷體"/>
          <w:sz w:val="28"/>
          <w:szCs w:val="28"/>
        </w:rPr>
        <w:t>年相同。</w:t>
      </w:r>
    </w:p>
    <w:p w:rsidR="008416A3" w:rsidRPr="00AE0D77" w:rsidRDefault="00833DBD" w:rsidP="008416A3">
      <w:pPr>
        <w:autoSpaceDE w:val="0"/>
        <w:autoSpaceDN w:val="0"/>
        <w:adjustRightInd w:val="0"/>
        <w:snapToGrid w:val="0"/>
        <w:spacing w:before="120" w:line="300" w:lineRule="auto"/>
        <w:ind w:firstLineChars="202" w:firstLine="566"/>
        <w:jc w:val="both"/>
        <w:rPr>
          <w:rFonts w:eastAsia="標楷體"/>
          <w:sz w:val="28"/>
          <w:szCs w:val="28"/>
        </w:rPr>
      </w:pPr>
      <w:r w:rsidRPr="00AE0D77">
        <w:rPr>
          <w:rFonts w:eastAsia="標楷體"/>
          <w:sz w:val="28"/>
          <w:szCs w:val="28"/>
        </w:rPr>
        <w:t>今年</w:t>
      </w:r>
      <w:r w:rsidRPr="00AE0D77">
        <w:rPr>
          <w:rFonts w:eastAsia="標楷體"/>
          <w:sz w:val="28"/>
          <w:szCs w:val="28"/>
        </w:rPr>
        <w:t>1</w:t>
      </w:r>
      <w:r w:rsidRPr="00AE0D77">
        <w:rPr>
          <w:rFonts w:eastAsia="標楷體"/>
          <w:sz w:val="28"/>
          <w:szCs w:val="28"/>
        </w:rPr>
        <w:t>至</w:t>
      </w:r>
      <w:r w:rsidRPr="00AE0D77">
        <w:rPr>
          <w:rFonts w:eastAsia="標楷體"/>
          <w:sz w:val="28"/>
          <w:szCs w:val="28"/>
        </w:rPr>
        <w:t>5</w:t>
      </w:r>
      <w:r w:rsidRPr="00AE0D77">
        <w:rPr>
          <w:rFonts w:eastAsia="標楷體"/>
          <w:sz w:val="28"/>
          <w:szCs w:val="28"/>
        </w:rPr>
        <w:t>月，固定資產投資</w:t>
      </w:r>
      <w:r w:rsidRPr="00AE0D77">
        <w:rPr>
          <w:rFonts w:eastAsia="標楷體"/>
          <w:sz w:val="28"/>
          <w:szCs w:val="28"/>
        </w:rPr>
        <w:t>(</w:t>
      </w:r>
      <w:r w:rsidRPr="00AE0D77">
        <w:rPr>
          <w:rFonts w:eastAsia="標楷體"/>
          <w:sz w:val="28"/>
          <w:szCs w:val="28"/>
        </w:rPr>
        <w:t>不含農戶</w:t>
      </w:r>
      <w:r w:rsidRPr="00AE0D77">
        <w:rPr>
          <w:rFonts w:eastAsia="標楷體"/>
          <w:sz w:val="28"/>
          <w:szCs w:val="28"/>
        </w:rPr>
        <w:t>)</w:t>
      </w:r>
      <w:r w:rsidRPr="00AE0D77">
        <w:rPr>
          <w:rFonts w:eastAsia="標楷體"/>
          <w:sz w:val="28"/>
          <w:szCs w:val="28"/>
        </w:rPr>
        <w:t>金額為</w:t>
      </w:r>
      <w:r w:rsidRPr="00AE0D77">
        <w:rPr>
          <w:rFonts w:eastAsia="標楷體"/>
          <w:sz w:val="28"/>
          <w:szCs w:val="28"/>
        </w:rPr>
        <w:t>20</w:t>
      </w:r>
      <w:r w:rsidRPr="00AE0D77">
        <w:rPr>
          <w:rFonts w:eastAsia="標楷體"/>
          <w:sz w:val="28"/>
          <w:szCs w:val="28"/>
        </w:rPr>
        <w:t>兆</w:t>
      </w:r>
      <w:r w:rsidRPr="00AE0D77">
        <w:rPr>
          <w:rFonts w:eastAsia="標楷體"/>
          <w:sz w:val="28"/>
          <w:szCs w:val="28"/>
        </w:rPr>
        <w:t>3,718</w:t>
      </w:r>
      <w:r w:rsidRPr="00AE0D77">
        <w:rPr>
          <w:rFonts w:eastAsia="標楷體"/>
          <w:sz w:val="28"/>
          <w:szCs w:val="28"/>
        </w:rPr>
        <w:t>億人民幣，較上年同期增加</w:t>
      </w:r>
      <w:r w:rsidRPr="00AE0D77">
        <w:rPr>
          <w:rFonts w:eastAsia="標楷體"/>
          <w:sz w:val="28"/>
          <w:szCs w:val="28"/>
        </w:rPr>
        <w:t>8.6%</w:t>
      </w:r>
      <w:r w:rsidRPr="00AE0D77">
        <w:rPr>
          <w:rFonts w:eastAsia="標楷體"/>
          <w:sz w:val="28"/>
          <w:szCs w:val="28"/>
        </w:rPr>
        <w:t>；規模以上工業生產成長</w:t>
      </w:r>
      <w:r w:rsidRPr="00AE0D77">
        <w:rPr>
          <w:rFonts w:eastAsia="標楷體"/>
          <w:sz w:val="28"/>
          <w:szCs w:val="28"/>
        </w:rPr>
        <w:t>6.5%</w:t>
      </w:r>
      <w:r w:rsidRPr="00AE0D77">
        <w:rPr>
          <w:rFonts w:eastAsia="標楷體"/>
          <w:sz w:val="28"/>
          <w:szCs w:val="28"/>
        </w:rPr>
        <w:t>。對外貿易方面，今年</w:t>
      </w:r>
      <w:r w:rsidRPr="00AE0D77">
        <w:rPr>
          <w:rFonts w:eastAsia="標楷體"/>
          <w:sz w:val="28"/>
          <w:szCs w:val="28"/>
        </w:rPr>
        <w:t>1</w:t>
      </w:r>
      <w:r w:rsidRPr="00AE0D77">
        <w:rPr>
          <w:rFonts w:eastAsia="標楷體"/>
          <w:sz w:val="28"/>
          <w:szCs w:val="28"/>
        </w:rPr>
        <w:t>至</w:t>
      </w:r>
      <w:r w:rsidRPr="00AE0D77">
        <w:rPr>
          <w:rFonts w:eastAsia="標楷體"/>
          <w:sz w:val="28"/>
          <w:szCs w:val="28"/>
        </w:rPr>
        <w:t>5</w:t>
      </w:r>
      <w:r w:rsidRPr="00AE0D77">
        <w:rPr>
          <w:rFonts w:eastAsia="標楷體"/>
          <w:sz w:val="28"/>
          <w:szCs w:val="28"/>
        </w:rPr>
        <w:t>月出口成長</w:t>
      </w:r>
      <w:r w:rsidRPr="00AE0D77">
        <w:rPr>
          <w:rFonts w:eastAsia="標楷體"/>
          <w:sz w:val="28"/>
          <w:szCs w:val="28"/>
        </w:rPr>
        <w:t>8.2%</w:t>
      </w:r>
      <w:r w:rsidRPr="00AE0D77">
        <w:rPr>
          <w:rFonts w:eastAsia="標楷體"/>
          <w:sz w:val="28"/>
          <w:szCs w:val="28"/>
        </w:rPr>
        <w:t>，進口增加</w:t>
      </w:r>
      <w:r w:rsidRPr="00AE0D77">
        <w:rPr>
          <w:rFonts w:eastAsia="標楷體"/>
          <w:sz w:val="28"/>
          <w:szCs w:val="28"/>
        </w:rPr>
        <w:t>19.5%</w:t>
      </w:r>
      <w:r w:rsidRPr="00AE0D77">
        <w:rPr>
          <w:rFonts w:eastAsia="標楷體"/>
          <w:sz w:val="28"/>
          <w:szCs w:val="28"/>
        </w:rPr>
        <w:t>。物價方面，居民消費價格指數上漲</w:t>
      </w:r>
      <w:r w:rsidRPr="00AE0D77">
        <w:rPr>
          <w:rFonts w:eastAsia="標楷體"/>
          <w:sz w:val="28"/>
          <w:szCs w:val="28"/>
        </w:rPr>
        <w:t>1.4%</w:t>
      </w:r>
      <w:r w:rsidRPr="00AE0D77">
        <w:rPr>
          <w:rFonts w:eastAsia="標楷體"/>
          <w:sz w:val="28"/>
          <w:szCs w:val="28"/>
        </w:rPr>
        <w:t>。金融體系方面，今年</w:t>
      </w:r>
      <w:r w:rsidRPr="00AE0D77">
        <w:rPr>
          <w:rFonts w:eastAsia="標楷體"/>
          <w:sz w:val="28"/>
          <w:szCs w:val="28"/>
        </w:rPr>
        <w:t>5</w:t>
      </w:r>
      <w:r w:rsidRPr="00AE0D77">
        <w:rPr>
          <w:rFonts w:eastAsia="標楷體"/>
          <w:sz w:val="28"/>
          <w:szCs w:val="28"/>
        </w:rPr>
        <w:t>月貨幣供給額</w:t>
      </w:r>
      <w:r w:rsidRPr="00AE0D77">
        <w:rPr>
          <w:rFonts w:eastAsia="標楷體"/>
          <w:sz w:val="28"/>
          <w:szCs w:val="28"/>
        </w:rPr>
        <w:t>M1</w:t>
      </w:r>
      <w:r w:rsidRPr="00AE0D77">
        <w:rPr>
          <w:rFonts w:eastAsia="標楷體"/>
          <w:sz w:val="28"/>
          <w:szCs w:val="28"/>
        </w:rPr>
        <w:t>及</w:t>
      </w:r>
      <w:r w:rsidRPr="00AE0D77">
        <w:rPr>
          <w:rFonts w:eastAsia="標楷體"/>
          <w:sz w:val="28"/>
          <w:szCs w:val="28"/>
        </w:rPr>
        <w:t>M2</w:t>
      </w:r>
      <w:r w:rsidRPr="00AE0D77">
        <w:rPr>
          <w:rFonts w:eastAsia="標楷體"/>
          <w:sz w:val="28"/>
          <w:szCs w:val="28"/>
        </w:rPr>
        <w:t>分別較上年同期增加</w:t>
      </w:r>
      <w:r w:rsidRPr="00AE0D77">
        <w:rPr>
          <w:rFonts w:eastAsia="標楷體"/>
          <w:sz w:val="28"/>
          <w:szCs w:val="28"/>
        </w:rPr>
        <w:t>17.0%</w:t>
      </w:r>
      <w:r w:rsidRPr="00AE0D77">
        <w:rPr>
          <w:rFonts w:eastAsia="標楷體"/>
          <w:sz w:val="28"/>
          <w:szCs w:val="28"/>
        </w:rPr>
        <w:t>、</w:t>
      </w:r>
      <w:r w:rsidRPr="00AE0D77">
        <w:rPr>
          <w:rFonts w:eastAsia="標楷體"/>
          <w:sz w:val="28"/>
          <w:szCs w:val="28"/>
        </w:rPr>
        <w:t>9.6%</w:t>
      </w:r>
      <w:r w:rsidRPr="00AE0D77">
        <w:rPr>
          <w:rFonts w:eastAsia="標楷體"/>
          <w:sz w:val="28"/>
          <w:szCs w:val="28"/>
        </w:rPr>
        <w:t>。</w:t>
      </w:r>
    </w:p>
    <w:p w:rsidR="008416A3" w:rsidRPr="00AE0D77" w:rsidRDefault="00833DBD" w:rsidP="008416A3">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AE0D77">
        <w:rPr>
          <w:rFonts w:eastAsia="標楷體"/>
          <w:sz w:val="28"/>
          <w:szCs w:val="28"/>
        </w:rPr>
        <w:t>「</w:t>
      </w:r>
      <w:r w:rsidRPr="00AE0D77">
        <w:rPr>
          <w:rFonts w:eastAsia="標楷體"/>
          <w:sz w:val="28"/>
          <w:szCs w:val="28"/>
        </w:rPr>
        <w:t>2017</w:t>
      </w:r>
      <w:r w:rsidRPr="00AE0D77">
        <w:rPr>
          <w:rFonts w:eastAsia="標楷體"/>
          <w:sz w:val="28"/>
          <w:szCs w:val="28"/>
        </w:rPr>
        <w:t>絲綢之路國際商協會圓桌會」於今年</w:t>
      </w:r>
      <w:r w:rsidRPr="00AE0D77">
        <w:rPr>
          <w:rFonts w:eastAsia="標楷體"/>
          <w:sz w:val="28"/>
          <w:szCs w:val="28"/>
        </w:rPr>
        <w:t>6</w:t>
      </w:r>
      <w:r w:rsidRPr="00AE0D77">
        <w:rPr>
          <w:rFonts w:eastAsia="標楷體"/>
          <w:sz w:val="28"/>
          <w:szCs w:val="28"/>
        </w:rPr>
        <w:t>月</w:t>
      </w:r>
      <w:r w:rsidRPr="00AE0D77">
        <w:rPr>
          <w:rFonts w:eastAsia="標楷體"/>
          <w:sz w:val="28"/>
          <w:szCs w:val="28"/>
        </w:rPr>
        <w:t>4</w:t>
      </w:r>
      <w:r w:rsidRPr="00AE0D77">
        <w:rPr>
          <w:rFonts w:eastAsia="標楷體"/>
          <w:sz w:val="28"/>
          <w:szCs w:val="28"/>
        </w:rPr>
        <w:t>日在西安召開，來自「一帶一路」沿線</w:t>
      </w:r>
      <w:r w:rsidRPr="00AE0D77">
        <w:rPr>
          <w:rFonts w:eastAsia="標楷體"/>
          <w:sz w:val="28"/>
          <w:szCs w:val="28"/>
        </w:rPr>
        <w:t>28</w:t>
      </w:r>
      <w:r w:rsidRPr="00AE0D77">
        <w:rPr>
          <w:rFonts w:eastAsia="標楷體"/>
          <w:sz w:val="28"/>
          <w:szCs w:val="28"/>
        </w:rPr>
        <w:t>個國家和地區的</w:t>
      </w:r>
      <w:r w:rsidRPr="00AE0D77">
        <w:rPr>
          <w:rFonts w:eastAsia="標楷體"/>
          <w:sz w:val="28"/>
          <w:szCs w:val="28"/>
        </w:rPr>
        <w:t>35</w:t>
      </w:r>
      <w:r w:rsidRPr="00AE0D77">
        <w:rPr>
          <w:rFonts w:eastAsia="標楷體"/>
          <w:sz w:val="28"/>
          <w:szCs w:val="28"/>
        </w:rPr>
        <w:t>個國際商協會代表達成「</w:t>
      </w:r>
      <w:r w:rsidRPr="00AE0D77">
        <w:rPr>
          <w:rFonts w:eastAsia="標楷體"/>
          <w:sz w:val="28"/>
          <w:szCs w:val="28"/>
        </w:rPr>
        <w:t>2017</w:t>
      </w:r>
      <w:r w:rsidRPr="00AE0D77">
        <w:rPr>
          <w:rFonts w:eastAsia="標楷體"/>
          <w:sz w:val="28"/>
          <w:szCs w:val="28"/>
        </w:rPr>
        <w:t>絲綢之路商務理事會西安共識」，該共識旨在加強經貿政策協調對接、推動貿易便利化、共同建設經貿產業合作區、積極參與建設「一帶一路」自由貿易網路、搭建「一帶一路」沿線國家商品交易國際化平台等，落實互利共贏發展，預計未來</w:t>
      </w:r>
      <w:r w:rsidRPr="00AE0D77">
        <w:rPr>
          <w:rFonts w:eastAsia="標楷體"/>
          <w:sz w:val="28"/>
          <w:szCs w:val="28"/>
        </w:rPr>
        <w:t>5</w:t>
      </w:r>
      <w:r w:rsidRPr="00AE0D77">
        <w:rPr>
          <w:rFonts w:eastAsia="標楷體"/>
          <w:sz w:val="28"/>
          <w:szCs w:val="28"/>
        </w:rPr>
        <w:t>年中國大陸將從沿線國家和地區進口</w:t>
      </w:r>
      <w:r w:rsidRPr="00AE0D77">
        <w:rPr>
          <w:rFonts w:eastAsia="標楷體"/>
          <w:sz w:val="28"/>
          <w:szCs w:val="28"/>
        </w:rPr>
        <w:t>2</w:t>
      </w:r>
      <w:r w:rsidRPr="00AE0D77">
        <w:rPr>
          <w:rFonts w:eastAsia="標楷體"/>
          <w:sz w:val="28"/>
          <w:szCs w:val="28"/>
        </w:rPr>
        <w:t>兆美元的商品。</w:t>
      </w:r>
    </w:p>
    <w:p w:rsidR="005F3D7B" w:rsidRPr="00AE0D77" w:rsidRDefault="00833DBD" w:rsidP="008416A3">
      <w:pPr>
        <w:autoSpaceDE w:val="0"/>
        <w:autoSpaceDN w:val="0"/>
        <w:adjustRightInd w:val="0"/>
        <w:snapToGrid w:val="0"/>
        <w:spacing w:before="50" w:line="300" w:lineRule="auto"/>
        <w:ind w:right="-153" w:firstLineChars="200" w:firstLine="560"/>
        <w:jc w:val="both"/>
        <w:rPr>
          <w:rFonts w:eastAsia="標楷體"/>
          <w:sz w:val="28"/>
          <w:szCs w:val="28"/>
        </w:rPr>
      </w:pPr>
      <w:r w:rsidRPr="00AE0D77">
        <w:rPr>
          <w:rFonts w:eastAsia="標楷體"/>
          <w:sz w:val="28"/>
          <w:szCs w:val="28"/>
        </w:rPr>
        <w:t>中國大陸國家主席習近平</w:t>
      </w:r>
      <w:r w:rsidRPr="00AE0D77">
        <w:rPr>
          <w:rFonts w:eastAsia="標楷體"/>
          <w:sz w:val="28"/>
          <w:szCs w:val="28"/>
        </w:rPr>
        <w:t>6</w:t>
      </w:r>
      <w:r w:rsidRPr="00AE0D77">
        <w:rPr>
          <w:rFonts w:eastAsia="標楷體"/>
          <w:sz w:val="28"/>
          <w:szCs w:val="28"/>
        </w:rPr>
        <w:t>月</w:t>
      </w:r>
      <w:r w:rsidRPr="00AE0D77">
        <w:rPr>
          <w:rFonts w:eastAsia="標楷體"/>
          <w:sz w:val="28"/>
          <w:szCs w:val="28"/>
        </w:rPr>
        <w:t>9</w:t>
      </w:r>
      <w:r w:rsidRPr="00AE0D77">
        <w:rPr>
          <w:rFonts w:eastAsia="標楷體"/>
          <w:sz w:val="28"/>
          <w:szCs w:val="28"/>
        </w:rPr>
        <w:t>日出席在哈薩克首都阿斯塔納舉行的「上海合作組織成員國元首理事會」第</w:t>
      </w:r>
      <w:r w:rsidRPr="00AE0D77">
        <w:rPr>
          <w:rFonts w:eastAsia="標楷體"/>
          <w:sz w:val="28"/>
          <w:szCs w:val="28"/>
        </w:rPr>
        <w:t>17</w:t>
      </w:r>
      <w:r w:rsidRPr="00AE0D77">
        <w:rPr>
          <w:rFonts w:eastAsia="標楷體"/>
          <w:sz w:val="28"/>
          <w:szCs w:val="28"/>
        </w:rPr>
        <w:t>次會議，習近平倡議深化政治互信、舉辦防務安全論壇、建立區域經濟合作制度性安排與媒體合作</w:t>
      </w:r>
      <w:r w:rsidRPr="00AE0D77">
        <w:rPr>
          <w:rFonts w:eastAsia="標楷體"/>
          <w:sz w:val="28"/>
          <w:szCs w:val="28"/>
        </w:rPr>
        <w:lastRenderedPageBreak/>
        <w:t>機制等；其中，在建立區域經濟合作制度性安排方面，中國大陸和有關各方正積極推動「一帶一路」建設與歐亞經濟聯盟建設等區域合作倡議，以及與哈薩克「光明之路」等各國發展戰略對接，逐步建立區域經濟合作制度性安排，支持建立地方合作機制，並積極開展中小企業合作</w:t>
      </w:r>
      <w:r w:rsidR="005F3D7B" w:rsidRPr="00AE0D77">
        <w:rPr>
          <w:rFonts w:eastAsia="標楷體"/>
          <w:sz w:val="28"/>
          <w:szCs w:val="28"/>
        </w:rPr>
        <w:t>。</w:t>
      </w:r>
    </w:p>
    <w:p w:rsidR="0001473F" w:rsidRPr="00AE0D77" w:rsidRDefault="0001473F" w:rsidP="00EB5BD3">
      <w:pPr>
        <w:autoSpaceDE w:val="0"/>
        <w:autoSpaceDN w:val="0"/>
        <w:adjustRightInd w:val="0"/>
        <w:snapToGrid w:val="0"/>
        <w:spacing w:before="120" w:line="300" w:lineRule="auto"/>
        <w:ind w:firstLineChars="202" w:firstLine="566"/>
        <w:jc w:val="both"/>
        <w:rPr>
          <w:rFonts w:eastAsia="標楷體"/>
          <w:sz w:val="28"/>
          <w:szCs w:val="28"/>
        </w:rPr>
      </w:pPr>
    </w:p>
    <w:p w:rsidR="00AD12FA" w:rsidRPr="00AE0D77" w:rsidRDefault="00AD12FA" w:rsidP="00D62C2C">
      <w:pPr>
        <w:keepNext/>
        <w:adjustRightInd w:val="0"/>
        <w:snapToGrid w:val="0"/>
        <w:spacing w:beforeLines="100" w:before="360" w:after="100" w:afterAutospacing="1" w:line="300" w:lineRule="auto"/>
        <w:outlineLvl w:val="1"/>
        <w:rPr>
          <w:rFonts w:eastAsia="標楷體"/>
        </w:rPr>
      </w:pPr>
      <w:bookmarkStart w:id="31" w:name="_Toc486347616"/>
      <w:r w:rsidRPr="00AE0D77">
        <w:rPr>
          <w:rFonts w:eastAsia="標楷體"/>
          <w:b/>
          <w:bCs/>
          <w:sz w:val="40"/>
          <w:szCs w:val="36"/>
        </w:rPr>
        <w:t>四、兩岸經貿</w:t>
      </w:r>
      <w:bookmarkEnd w:id="31"/>
    </w:p>
    <w:p w:rsidR="002F643B" w:rsidRPr="00AE0D77" w:rsidRDefault="00AD12FA" w:rsidP="00A60231">
      <w:pPr>
        <w:adjustRightInd w:val="0"/>
        <w:snapToGrid w:val="0"/>
        <w:spacing w:before="120" w:line="300" w:lineRule="auto"/>
        <w:ind w:right="-1"/>
        <w:jc w:val="both"/>
        <w:rPr>
          <w:rFonts w:eastAsia="標楷體"/>
          <w:sz w:val="28"/>
          <w:szCs w:val="28"/>
        </w:rPr>
      </w:pPr>
      <w:r w:rsidRPr="00AE0D77">
        <w:rPr>
          <w:rFonts w:eastAsia="標楷體"/>
          <w:sz w:val="28"/>
          <w:szCs w:val="28"/>
        </w:rPr>
        <w:t xml:space="preserve">    </w:t>
      </w:r>
      <w:r w:rsidR="00833DBD" w:rsidRPr="00AE0D77">
        <w:rPr>
          <w:rFonts w:eastAsia="標楷體"/>
          <w:sz w:val="28"/>
          <w:szCs w:val="28"/>
        </w:rPr>
        <w:t>今</w:t>
      </w:r>
      <w:r w:rsidR="00833DBD" w:rsidRPr="00AE0D77">
        <w:rPr>
          <w:rFonts w:eastAsia="標楷體"/>
          <w:sz w:val="28"/>
          <w:szCs w:val="28"/>
        </w:rPr>
        <w:t>(2017)</w:t>
      </w:r>
      <w:r w:rsidR="00833DBD" w:rsidRPr="00AE0D77">
        <w:rPr>
          <w:rFonts w:eastAsia="標楷體"/>
          <w:sz w:val="28"/>
          <w:szCs w:val="28"/>
        </w:rPr>
        <w:t>年</w:t>
      </w:r>
      <w:r w:rsidR="00833DBD" w:rsidRPr="00AE0D77">
        <w:rPr>
          <w:rFonts w:eastAsia="標楷體"/>
          <w:sz w:val="28"/>
          <w:szCs w:val="28"/>
        </w:rPr>
        <w:t>5</w:t>
      </w:r>
      <w:r w:rsidR="00833DBD" w:rsidRPr="00AE0D77">
        <w:rPr>
          <w:rFonts w:eastAsia="標楷體"/>
          <w:sz w:val="28"/>
          <w:szCs w:val="28"/>
        </w:rPr>
        <w:t>月我對中國大陸</w:t>
      </w:r>
      <w:r w:rsidR="00833DBD" w:rsidRPr="00AE0D77">
        <w:rPr>
          <w:rFonts w:eastAsia="標楷體"/>
          <w:sz w:val="28"/>
          <w:szCs w:val="28"/>
        </w:rPr>
        <w:t>(</w:t>
      </w:r>
      <w:r w:rsidR="00833DBD" w:rsidRPr="00AE0D77">
        <w:rPr>
          <w:rFonts w:eastAsia="標楷體"/>
          <w:sz w:val="28"/>
          <w:szCs w:val="28"/>
        </w:rPr>
        <w:t>含香港</w:t>
      </w:r>
      <w:r w:rsidR="00833DBD" w:rsidRPr="00AE0D77">
        <w:rPr>
          <w:rFonts w:eastAsia="標楷體"/>
          <w:sz w:val="28"/>
          <w:szCs w:val="28"/>
        </w:rPr>
        <w:t>)</w:t>
      </w:r>
      <w:r w:rsidR="00833DBD" w:rsidRPr="00AE0D77">
        <w:rPr>
          <w:rFonts w:eastAsia="標楷體"/>
          <w:sz w:val="28"/>
          <w:szCs w:val="28"/>
        </w:rPr>
        <w:t>出口額為</w:t>
      </w:r>
      <w:r w:rsidR="00833DBD" w:rsidRPr="00AE0D77">
        <w:rPr>
          <w:rFonts w:eastAsia="標楷體"/>
          <w:sz w:val="28"/>
          <w:szCs w:val="28"/>
        </w:rPr>
        <w:t>99.4</w:t>
      </w:r>
      <w:r w:rsidR="00833DBD" w:rsidRPr="00AE0D77">
        <w:rPr>
          <w:rFonts w:eastAsia="標楷體"/>
          <w:sz w:val="28"/>
          <w:szCs w:val="28"/>
        </w:rPr>
        <w:t>億美元，增加</w:t>
      </w:r>
      <w:r w:rsidR="00833DBD" w:rsidRPr="00AE0D77">
        <w:rPr>
          <w:rFonts w:eastAsia="標楷體"/>
          <w:sz w:val="28"/>
          <w:szCs w:val="28"/>
        </w:rPr>
        <w:t>6.4%</w:t>
      </w:r>
      <w:r w:rsidR="00833DBD" w:rsidRPr="00AE0D77">
        <w:rPr>
          <w:rFonts w:eastAsia="標楷體"/>
          <w:sz w:val="28"/>
          <w:szCs w:val="28"/>
        </w:rPr>
        <w:t>；進口額為</w:t>
      </w:r>
      <w:r w:rsidR="00833DBD" w:rsidRPr="00AE0D77">
        <w:rPr>
          <w:rFonts w:eastAsia="標楷體"/>
          <w:sz w:val="28"/>
          <w:szCs w:val="28"/>
        </w:rPr>
        <w:t>44.6</w:t>
      </w:r>
      <w:r w:rsidR="00833DBD" w:rsidRPr="00AE0D77">
        <w:rPr>
          <w:rFonts w:eastAsia="標楷體"/>
          <w:sz w:val="28"/>
          <w:szCs w:val="28"/>
        </w:rPr>
        <w:t>億美元，增加</w:t>
      </w:r>
      <w:r w:rsidR="00833DBD" w:rsidRPr="00AE0D77">
        <w:rPr>
          <w:rFonts w:eastAsia="標楷體"/>
          <w:sz w:val="28"/>
          <w:szCs w:val="28"/>
        </w:rPr>
        <w:t>11.7%</w:t>
      </w:r>
      <w:r w:rsidR="00833DBD" w:rsidRPr="00AE0D77">
        <w:rPr>
          <w:rFonts w:eastAsia="標楷體"/>
          <w:sz w:val="28"/>
          <w:szCs w:val="28"/>
        </w:rPr>
        <w:t>；貿易出超為</w:t>
      </w:r>
      <w:r w:rsidR="00833DBD" w:rsidRPr="00AE0D77">
        <w:rPr>
          <w:rFonts w:eastAsia="標楷體"/>
          <w:sz w:val="28"/>
          <w:szCs w:val="28"/>
        </w:rPr>
        <w:t>54.8</w:t>
      </w:r>
      <w:r w:rsidR="00833DBD" w:rsidRPr="00AE0D77">
        <w:rPr>
          <w:rFonts w:eastAsia="標楷體"/>
          <w:sz w:val="28"/>
          <w:szCs w:val="28"/>
        </w:rPr>
        <w:t>億美元，增加</w:t>
      </w:r>
      <w:r w:rsidR="00833DBD" w:rsidRPr="00AE0D77">
        <w:rPr>
          <w:rFonts w:eastAsia="標楷體"/>
          <w:sz w:val="28"/>
          <w:szCs w:val="28"/>
        </w:rPr>
        <w:t>2.4%</w:t>
      </w:r>
      <w:r w:rsidR="00833DBD" w:rsidRPr="00AE0D77">
        <w:rPr>
          <w:rFonts w:eastAsia="標楷體"/>
          <w:sz w:val="28"/>
          <w:szCs w:val="28"/>
        </w:rPr>
        <w:t>。同期間，我對中國大陸投資件數為</w:t>
      </w:r>
      <w:r w:rsidR="00833DBD" w:rsidRPr="00AE0D77">
        <w:rPr>
          <w:rFonts w:eastAsia="標楷體"/>
          <w:sz w:val="28"/>
          <w:szCs w:val="28"/>
        </w:rPr>
        <w:t>48</w:t>
      </w:r>
      <w:r w:rsidR="00833DBD" w:rsidRPr="00AE0D77">
        <w:rPr>
          <w:rFonts w:eastAsia="標楷體"/>
          <w:sz w:val="28"/>
          <w:szCs w:val="28"/>
        </w:rPr>
        <w:t>件，金額為</w:t>
      </w:r>
      <w:r w:rsidR="00833DBD" w:rsidRPr="00AE0D77">
        <w:rPr>
          <w:rFonts w:eastAsia="標楷體"/>
          <w:sz w:val="28"/>
          <w:szCs w:val="28"/>
        </w:rPr>
        <w:t>3.1</w:t>
      </w:r>
      <w:r w:rsidR="00833DBD" w:rsidRPr="00AE0D77">
        <w:rPr>
          <w:rFonts w:eastAsia="標楷體"/>
          <w:sz w:val="28"/>
          <w:szCs w:val="28"/>
        </w:rPr>
        <w:t>億美元；陸資來臺投資，件數為</w:t>
      </w:r>
      <w:r w:rsidR="00833DBD" w:rsidRPr="00AE0D77">
        <w:rPr>
          <w:rFonts w:eastAsia="標楷體"/>
          <w:sz w:val="28"/>
          <w:szCs w:val="28"/>
        </w:rPr>
        <w:t>9</w:t>
      </w:r>
      <w:r w:rsidR="00833DBD" w:rsidRPr="00AE0D77">
        <w:rPr>
          <w:rFonts w:eastAsia="標楷體"/>
          <w:sz w:val="28"/>
          <w:szCs w:val="28"/>
        </w:rPr>
        <w:t>件，金額為</w:t>
      </w:r>
      <w:r w:rsidR="00833DBD" w:rsidRPr="00AE0D77">
        <w:rPr>
          <w:rFonts w:eastAsia="標楷體"/>
          <w:sz w:val="28"/>
          <w:szCs w:val="28"/>
        </w:rPr>
        <w:t>8,919.7</w:t>
      </w:r>
      <w:r w:rsidR="00833DBD" w:rsidRPr="00AE0D77">
        <w:rPr>
          <w:rFonts w:eastAsia="標楷體"/>
          <w:sz w:val="28"/>
          <w:szCs w:val="28"/>
        </w:rPr>
        <w:t>萬美元</w:t>
      </w:r>
      <w:r w:rsidR="00EB5BD3" w:rsidRPr="00AE0D77">
        <w:rPr>
          <w:rFonts w:eastAsia="標楷體"/>
          <w:sz w:val="28"/>
          <w:szCs w:val="28"/>
        </w:rPr>
        <w:t>。</w:t>
      </w:r>
    </w:p>
    <w:p w:rsidR="00845DE7" w:rsidRPr="00AE0D77" w:rsidRDefault="00262EC1" w:rsidP="00262EC1">
      <w:pPr>
        <w:widowControl/>
        <w:rPr>
          <w:rFonts w:eastAsia="標楷體"/>
          <w:sz w:val="28"/>
          <w:szCs w:val="28"/>
        </w:rPr>
      </w:pPr>
      <w:r w:rsidRPr="00AE0D77">
        <w:rPr>
          <w:rFonts w:eastAsia="標楷體"/>
          <w:sz w:val="28"/>
          <w:szCs w:val="28"/>
        </w:rPr>
        <w:br w:type="page"/>
      </w:r>
    </w:p>
    <w:p w:rsidR="00845DE7" w:rsidRPr="00AE0D77" w:rsidRDefault="00845DE7" w:rsidP="00171436">
      <w:pPr>
        <w:keepNext/>
        <w:adjustRightInd w:val="0"/>
        <w:snapToGrid w:val="0"/>
        <w:spacing w:line="300" w:lineRule="auto"/>
        <w:outlineLvl w:val="1"/>
        <w:rPr>
          <w:rFonts w:eastAsia="標楷體"/>
          <w:bCs/>
        </w:rPr>
      </w:pPr>
      <w:bookmarkStart w:id="32" w:name="_Toc401923784"/>
      <w:bookmarkStart w:id="33" w:name="_Toc402171699"/>
      <w:bookmarkStart w:id="34" w:name="_Toc486347617"/>
      <w:r w:rsidRPr="00AE0D77">
        <w:rPr>
          <w:rFonts w:eastAsia="標楷體"/>
          <w:b/>
          <w:bCs/>
          <w:sz w:val="40"/>
          <w:szCs w:val="36"/>
        </w:rPr>
        <w:lastRenderedPageBreak/>
        <w:t>貳、國內外經濟指標</w:t>
      </w:r>
      <w:bookmarkEnd w:id="32"/>
      <w:bookmarkEnd w:id="33"/>
      <w:bookmarkEnd w:id="34"/>
    </w:p>
    <w:p w:rsidR="002722F7" w:rsidRPr="00AE0D77" w:rsidRDefault="002722F7" w:rsidP="002722F7">
      <w:pPr>
        <w:keepNext/>
        <w:snapToGrid w:val="0"/>
        <w:jc w:val="center"/>
        <w:outlineLvl w:val="1"/>
        <w:rPr>
          <w:rFonts w:eastAsia="標楷體"/>
          <w:b/>
          <w:sz w:val="28"/>
          <w:szCs w:val="32"/>
          <w:lang w:val="zh-TW"/>
        </w:rPr>
      </w:pPr>
      <w:bookmarkStart w:id="35" w:name="_Toc415126202"/>
      <w:bookmarkStart w:id="36" w:name="_Toc438827318"/>
      <w:bookmarkStart w:id="37" w:name="_Toc486347618"/>
      <w:r w:rsidRPr="00AE0D77">
        <w:rPr>
          <w:rFonts w:eastAsia="標楷體"/>
          <w:b/>
          <w:sz w:val="32"/>
          <w:szCs w:val="32"/>
          <w:lang w:val="zh-TW"/>
        </w:rPr>
        <w:t>表</w:t>
      </w:r>
      <w:r w:rsidRPr="00AE0D77">
        <w:rPr>
          <w:rFonts w:eastAsia="標楷體"/>
          <w:b/>
          <w:sz w:val="32"/>
          <w:szCs w:val="32"/>
          <w:lang w:val="zh-TW"/>
        </w:rPr>
        <w:t xml:space="preserve">1  </w:t>
      </w:r>
      <w:r w:rsidRPr="00AE0D77">
        <w:rPr>
          <w:rFonts w:eastAsia="標楷體"/>
          <w:b/>
          <w:sz w:val="32"/>
          <w:szCs w:val="32"/>
          <w:lang w:val="zh-TW"/>
        </w:rPr>
        <w:t>世界經濟成長率及物價上漲率</w:t>
      </w:r>
      <w:bookmarkEnd w:id="35"/>
      <w:bookmarkEnd w:id="36"/>
      <w:bookmarkEnd w:id="37"/>
    </w:p>
    <w:p w:rsidR="002722F7" w:rsidRPr="00AE0D77" w:rsidRDefault="002722F7" w:rsidP="002722F7">
      <w:pPr>
        <w:jc w:val="right"/>
        <w:rPr>
          <w:rFonts w:eastAsia="標楷體"/>
          <w:bCs/>
          <w:szCs w:val="32"/>
        </w:rPr>
      </w:pPr>
      <w:r w:rsidRPr="00AE0D77">
        <w:rPr>
          <w:rFonts w:eastAsia="標楷體"/>
          <w:bCs/>
          <w:szCs w:val="32"/>
        </w:rPr>
        <w:t xml:space="preserve">             </w:t>
      </w:r>
      <w:r w:rsidRPr="00AE0D77">
        <w:rPr>
          <w:rFonts w:eastAsia="標楷體"/>
          <w:bCs/>
          <w:szCs w:val="32"/>
          <w:lang w:val="zh-TW"/>
        </w:rPr>
        <w:t>單位</w:t>
      </w:r>
      <w:r w:rsidRPr="00AE0D77">
        <w:rPr>
          <w:rFonts w:eastAsia="標楷體"/>
          <w:bCs/>
          <w:szCs w:val="32"/>
        </w:rPr>
        <w:t>：</w:t>
      </w:r>
      <w:r w:rsidRPr="00AE0D77">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5E507A" w:rsidRPr="00AE0D77" w:rsidTr="00FC4D3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5E507A" w:rsidRPr="00AE0D77" w:rsidRDefault="005E507A" w:rsidP="00FC4D38">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5E507A" w:rsidRPr="00AE0D77" w:rsidRDefault="005E507A" w:rsidP="00FC4D38">
            <w:pPr>
              <w:keepNext/>
              <w:autoSpaceDE w:val="0"/>
              <w:autoSpaceDN w:val="0"/>
              <w:adjustRightInd w:val="0"/>
              <w:snapToGrid w:val="0"/>
              <w:spacing w:before="120" w:line="240" w:lineRule="exact"/>
              <w:jc w:val="center"/>
              <w:outlineLvl w:val="3"/>
              <w:rPr>
                <w:rFonts w:eastAsia="標楷體"/>
                <w:bCs/>
                <w:sz w:val="28"/>
                <w:szCs w:val="32"/>
              </w:rPr>
            </w:pPr>
            <w:r w:rsidRPr="00AE0D77">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5E507A" w:rsidRPr="00AE0D77" w:rsidRDefault="005E507A" w:rsidP="00FC4D38">
            <w:pPr>
              <w:keepNext/>
              <w:autoSpaceDE w:val="0"/>
              <w:autoSpaceDN w:val="0"/>
              <w:adjustRightInd w:val="0"/>
              <w:snapToGrid w:val="0"/>
              <w:spacing w:before="120" w:line="240" w:lineRule="exact"/>
              <w:jc w:val="center"/>
              <w:outlineLvl w:val="3"/>
              <w:rPr>
                <w:rFonts w:eastAsia="標楷體"/>
                <w:bCs/>
                <w:sz w:val="28"/>
                <w:szCs w:val="32"/>
              </w:rPr>
            </w:pPr>
            <w:r w:rsidRPr="00AE0D77">
              <w:rPr>
                <w:rFonts w:eastAsia="標楷體"/>
                <w:bCs/>
                <w:sz w:val="28"/>
                <w:szCs w:val="32"/>
              </w:rPr>
              <w:t>IMF</w:t>
            </w:r>
          </w:p>
        </w:tc>
      </w:tr>
      <w:tr w:rsidR="005E507A" w:rsidRPr="00AE0D77" w:rsidTr="00FC4D3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5E507A" w:rsidRPr="00AE0D77" w:rsidRDefault="005E507A" w:rsidP="00FC4D38">
            <w:pPr>
              <w:autoSpaceDE w:val="0"/>
              <w:autoSpaceDN w:val="0"/>
              <w:adjustRightInd w:val="0"/>
              <w:snapToGrid w:val="0"/>
              <w:spacing w:before="120" w:line="240" w:lineRule="exact"/>
              <w:jc w:val="center"/>
              <w:rPr>
                <w:rFonts w:eastAsia="標楷體"/>
                <w:bCs/>
                <w:sz w:val="28"/>
                <w:szCs w:val="32"/>
              </w:rPr>
            </w:pPr>
            <w:r w:rsidRPr="00AE0D77">
              <w:rPr>
                <w:rFonts w:eastAsia="標楷體"/>
                <w:bCs/>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tcPr>
          <w:p w:rsidR="005E507A" w:rsidRPr="00AE0D77" w:rsidRDefault="005E507A" w:rsidP="00FC4D38">
            <w:pPr>
              <w:autoSpaceDE w:val="0"/>
              <w:autoSpaceDN w:val="0"/>
              <w:adjustRightInd w:val="0"/>
              <w:snapToGrid w:val="0"/>
              <w:spacing w:before="120" w:line="240" w:lineRule="exact"/>
              <w:jc w:val="center"/>
              <w:rPr>
                <w:rFonts w:eastAsia="標楷體"/>
                <w:bCs/>
                <w:sz w:val="28"/>
                <w:szCs w:val="32"/>
              </w:rPr>
            </w:pPr>
            <w:r w:rsidRPr="00AE0D77">
              <w:rPr>
                <w:rFonts w:eastAsia="標楷體"/>
                <w:bCs/>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20" w:line="240" w:lineRule="exact"/>
              <w:jc w:val="center"/>
              <w:rPr>
                <w:rFonts w:eastAsia="標楷體"/>
                <w:bCs/>
                <w:sz w:val="28"/>
                <w:szCs w:val="32"/>
              </w:rPr>
            </w:pPr>
            <w:r w:rsidRPr="00AE0D77">
              <w:rPr>
                <w:rFonts w:eastAsia="標楷體"/>
                <w:bCs/>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tcPr>
          <w:p w:rsidR="005E507A" w:rsidRPr="00AE0D77" w:rsidRDefault="005E507A" w:rsidP="00FC4D38">
            <w:pPr>
              <w:autoSpaceDE w:val="0"/>
              <w:autoSpaceDN w:val="0"/>
              <w:adjustRightInd w:val="0"/>
              <w:snapToGrid w:val="0"/>
              <w:spacing w:before="120" w:line="240" w:lineRule="exact"/>
              <w:jc w:val="center"/>
              <w:rPr>
                <w:rFonts w:eastAsia="標楷體"/>
                <w:bCs/>
                <w:sz w:val="28"/>
                <w:szCs w:val="32"/>
              </w:rPr>
            </w:pPr>
            <w:r w:rsidRPr="00AE0D77">
              <w:rPr>
                <w:rFonts w:eastAsia="標楷體"/>
                <w:bCs/>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20" w:line="240" w:lineRule="exact"/>
              <w:jc w:val="center"/>
              <w:rPr>
                <w:rFonts w:eastAsia="標楷體"/>
                <w:bCs/>
                <w:sz w:val="28"/>
                <w:szCs w:val="32"/>
              </w:rPr>
            </w:pPr>
            <w:r w:rsidRPr="00AE0D77">
              <w:rPr>
                <w:rFonts w:eastAsia="標楷體"/>
                <w:bCs/>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5E507A" w:rsidRPr="00AE0D77" w:rsidRDefault="005E507A" w:rsidP="00FC4D38">
            <w:pPr>
              <w:autoSpaceDE w:val="0"/>
              <w:autoSpaceDN w:val="0"/>
              <w:adjustRightInd w:val="0"/>
              <w:snapToGrid w:val="0"/>
              <w:spacing w:before="120" w:line="240" w:lineRule="exact"/>
              <w:jc w:val="center"/>
              <w:rPr>
                <w:rFonts w:eastAsia="標楷體"/>
                <w:bCs/>
                <w:sz w:val="28"/>
                <w:szCs w:val="32"/>
              </w:rPr>
            </w:pPr>
            <w:r w:rsidRPr="00AE0D77">
              <w:rPr>
                <w:rFonts w:eastAsia="標楷體"/>
                <w:bCs/>
                <w:sz w:val="28"/>
                <w:szCs w:val="32"/>
              </w:rPr>
              <w:t>2018(f)</w:t>
            </w:r>
          </w:p>
        </w:tc>
      </w:tr>
      <w:tr w:rsidR="005E507A" w:rsidRPr="00AE0D77" w:rsidTr="00FC4D3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lang w:val="zh-TW"/>
              </w:rPr>
              <w:t>全</w:t>
            </w:r>
            <w:r w:rsidRPr="00AE0D77">
              <w:rPr>
                <w:rFonts w:eastAsia="標楷體"/>
                <w:bCs/>
                <w:sz w:val="28"/>
                <w:szCs w:val="32"/>
              </w:rPr>
              <w:t xml:space="preserve">    </w:t>
            </w:r>
            <w:r w:rsidRPr="00AE0D77">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2.5</w:t>
            </w:r>
          </w:p>
        </w:tc>
        <w:tc>
          <w:tcPr>
            <w:tcW w:w="644" w:type="pct"/>
            <w:tcBorders>
              <w:top w:val="single" w:sz="6"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3.0</w:t>
            </w:r>
          </w:p>
        </w:tc>
        <w:tc>
          <w:tcPr>
            <w:tcW w:w="619" w:type="pct"/>
            <w:tcBorders>
              <w:top w:val="single" w:sz="6" w:space="0" w:color="auto"/>
              <w:left w:val="nil"/>
              <w:bottom w:val="nil"/>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3.2</w:t>
            </w:r>
          </w:p>
        </w:tc>
        <w:tc>
          <w:tcPr>
            <w:tcW w:w="679" w:type="pct"/>
            <w:tcBorders>
              <w:top w:val="single" w:sz="6"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3.1</w:t>
            </w:r>
          </w:p>
        </w:tc>
        <w:tc>
          <w:tcPr>
            <w:tcW w:w="631" w:type="pct"/>
            <w:tcBorders>
              <w:top w:val="single" w:sz="6"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3.5</w:t>
            </w:r>
          </w:p>
        </w:tc>
        <w:tc>
          <w:tcPr>
            <w:tcW w:w="617" w:type="pct"/>
            <w:tcBorders>
              <w:top w:val="single" w:sz="6"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3.6</w:t>
            </w:r>
          </w:p>
        </w:tc>
      </w:tr>
      <w:tr w:rsidR="005E507A" w:rsidRPr="00AE0D77" w:rsidTr="00FC4D3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4.0</w:t>
            </w:r>
          </w:p>
        </w:tc>
        <w:tc>
          <w:tcPr>
            <w:tcW w:w="644"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3.2</w:t>
            </w:r>
          </w:p>
        </w:tc>
        <w:tc>
          <w:tcPr>
            <w:tcW w:w="619" w:type="pct"/>
            <w:tcBorders>
              <w:top w:val="nil"/>
              <w:left w:val="nil"/>
              <w:bottom w:val="single" w:sz="4" w:space="0" w:color="auto"/>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3.0</w:t>
            </w:r>
          </w:p>
        </w:tc>
        <w:tc>
          <w:tcPr>
            <w:tcW w:w="679"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w:t>
            </w:r>
          </w:p>
        </w:tc>
        <w:tc>
          <w:tcPr>
            <w:tcW w:w="631"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w:t>
            </w:r>
          </w:p>
        </w:tc>
        <w:tc>
          <w:tcPr>
            <w:tcW w:w="617"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p>
        </w:tc>
      </w:tr>
      <w:tr w:rsidR="005E507A" w:rsidRPr="00AE0D77" w:rsidTr="00FC4D38">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lang w:val="zh-TW"/>
              </w:rPr>
              <w:t>美</w:t>
            </w:r>
            <w:r w:rsidRPr="00AE0D77">
              <w:rPr>
                <w:rFonts w:eastAsia="標楷體"/>
                <w:bCs/>
                <w:sz w:val="28"/>
                <w:szCs w:val="32"/>
              </w:rPr>
              <w:t xml:space="preserve">    </w:t>
            </w:r>
            <w:r w:rsidRPr="00AE0D77">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1.6</w:t>
            </w:r>
          </w:p>
        </w:tc>
        <w:tc>
          <w:tcPr>
            <w:tcW w:w="644"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2.3</w:t>
            </w:r>
          </w:p>
        </w:tc>
        <w:tc>
          <w:tcPr>
            <w:tcW w:w="619" w:type="pct"/>
            <w:tcBorders>
              <w:top w:val="single" w:sz="4" w:space="0" w:color="auto"/>
              <w:left w:val="nil"/>
              <w:bottom w:val="nil"/>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2.7</w:t>
            </w:r>
          </w:p>
        </w:tc>
        <w:tc>
          <w:tcPr>
            <w:tcW w:w="679"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1.6</w:t>
            </w:r>
          </w:p>
        </w:tc>
        <w:tc>
          <w:tcPr>
            <w:tcW w:w="631"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2.3</w:t>
            </w:r>
          </w:p>
        </w:tc>
        <w:tc>
          <w:tcPr>
            <w:tcW w:w="617"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2.5</w:t>
            </w:r>
          </w:p>
        </w:tc>
      </w:tr>
      <w:tr w:rsidR="005E507A" w:rsidRPr="00AE0D77" w:rsidTr="00FC4D3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1.3</w:t>
            </w:r>
          </w:p>
        </w:tc>
        <w:tc>
          <w:tcPr>
            <w:tcW w:w="644"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2.2</w:t>
            </w:r>
          </w:p>
        </w:tc>
        <w:tc>
          <w:tcPr>
            <w:tcW w:w="619" w:type="pct"/>
            <w:tcBorders>
              <w:top w:val="nil"/>
              <w:left w:val="nil"/>
              <w:bottom w:val="single" w:sz="4" w:space="0" w:color="auto"/>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1.8</w:t>
            </w:r>
          </w:p>
        </w:tc>
        <w:tc>
          <w:tcPr>
            <w:tcW w:w="679"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1.3</w:t>
            </w:r>
          </w:p>
        </w:tc>
        <w:tc>
          <w:tcPr>
            <w:tcW w:w="631"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2.7</w:t>
            </w:r>
          </w:p>
        </w:tc>
        <w:tc>
          <w:tcPr>
            <w:tcW w:w="617"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2.4</w:t>
            </w:r>
          </w:p>
        </w:tc>
      </w:tr>
      <w:tr w:rsidR="005E507A" w:rsidRPr="00AE0D77" w:rsidTr="00FC4D3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E507A" w:rsidRPr="00AE0D77" w:rsidRDefault="005E507A" w:rsidP="00FC4D38">
            <w:pPr>
              <w:tabs>
                <w:tab w:val="left" w:pos="1800"/>
              </w:tabs>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lang w:val="zh-TW"/>
              </w:rPr>
              <w:t>歐</w:t>
            </w:r>
            <w:r w:rsidRPr="00AE0D77">
              <w:rPr>
                <w:rFonts w:eastAsia="標楷體"/>
                <w:bCs/>
                <w:sz w:val="28"/>
                <w:szCs w:val="32"/>
              </w:rPr>
              <w:t xml:space="preserve"> </w:t>
            </w:r>
            <w:r w:rsidRPr="00AE0D77">
              <w:rPr>
                <w:rFonts w:eastAsia="標楷體"/>
                <w:bCs/>
                <w:sz w:val="28"/>
                <w:szCs w:val="32"/>
                <w:lang w:val="zh-TW"/>
              </w:rPr>
              <w:t>元</w:t>
            </w:r>
            <w:r w:rsidRPr="00AE0D77">
              <w:rPr>
                <w:rFonts w:eastAsia="標楷體"/>
                <w:bCs/>
                <w:sz w:val="28"/>
                <w:szCs w:val="32"/>
              </w:rPr>
              <w:t xml:space="preserve"> </w:t>
            </w:r>
            <w:r w:rsidRPr="00AE0D77">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1.7</w:t>
            </w:r>
          </w:p>
        </w:tc>
        <w:tc>
          <w:tcPr>
            <w:tcW w:w="644"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1.9</w:t>
            </w:r>
          </w:p>
        </w:tc>
        <w:tc>
          <w:tcPr>
            <w:tcW w:w="619" w:type="pct"/>
            <w:tcBorders>
              <w:top w:val="single" w:sz="4" w:space="0" w:color="auto"/>
              <w:left w:val="nil"/>
              <w:bottom w:val="nil"/>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1.8</w:t>
            </w:r>
          </w:p>
        </w:tc>
        <w:tc>
          <w:tcPr>
            <w:tcW w:w="679"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1.7</w:t>
            </w:r>
          </w:p>
        </w:tc>
        <w:tc>
          <w:tcPr>
            <w:tcW w:w="631"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1.7</w:t>
            </w:r>
          </w:p>
        </w:tc>
        <w:tc>
          <w:tcPr>
            <w:tcW w:w="617"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1.6</w:t>
            </w:r>
          </w:p>
        </w:tc>
      </w:tr>
      <w:tr w:rsidR="005E507A" w:rsidRPr="00AE0D77" w:rsidTr="00FC4D3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0.3</w:t>
            </w:r>
          </w:p>
        </w:tc>
        <w:tc>
          <w:tcPr>
            <w:tcW w:w="644"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1.7</w:t>
            </w:r>
          </w:p>
        </w:tc>
        <w:tc>
          <w:tcPr>
            <w:tcW w:w="619" w:type="pct"/>
            <w:tcBorders>
              <w:top w:val="nil"/>
              <w:left w:val="nil"/>
              <w:bottom w:val="single" w:sz="4" w:space="0" w:color="auto"/>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1.6</w:t>
            </w:r>
          </w:p>
        </w:tc>
        <w:tc>
          <w:tcPr>
            <w:tcW w:w="679"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0.2</w:t>
            </w:r>
          </w:p>
        </w:tc>
        <w:tc>
          <w:tcPr>
            <w:tcW w:w="631"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1.7</w:t>
            </w:r>
          </w:p>
        </w:tc>
        <w:tc>
          <w:tcPr>
            <w:tcW w:w="617"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1.5</w:t>
            </w:r>
          </w:p>
        </w:tc>
      </w:tr>
      <w:tr w:rsidR="005E507A" w:rsidRPr="00AE0D77" w:rsidTr="00FC4D3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lang w:val="zh-TW"/>
              </w:rPr>
              <w:t>日</w:t>
            </w:r>
            <w:r w:rsidRPr="00AE0D77">
              <w:rPr>
                <w:rFonts w:eastAsia="標楷體"/>
                <w:bCs/>
                <w:sz w:val="28"/>
                <w:szCs w:val="32"/>
              </w:rPr>
              <w:t xml:space="preserve">    </w:t>
            </w:r>
            <w:r w:rsidRPr="00AE0D77">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1.0</w:t>
            </w:r>
          </w:p>
        </w:tc>
        <w:tc>
          <w:tcPr>
            <w:tcW w:w="644"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1.3</w:t>
            </w:r>
          </w:p>
        </w:tc>
        <w:tc>
          <w:tcPr>
            <w:tcW w:w="619" w:type="pct"/>
            <w:tcBorders>
              <w:top w:val="single" w:sz="4" w:space="0" w:color="auto"/>
              <w:left w:val="nil"/>
              <w:bottom w:val="nil"/>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1.0</w:t>
            </w:r>
          </w:p>
        </w:tc>
        <w:tc>
          <w:tcPr>
            <w:tcW w:w="679"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1.0</w:t>
            </w:r>
          </w:p>
        </w:tc>
        <w:tc>
          <w:tcPr>
            <w:tcW w:w="631"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1.2</w:t>
            </w:r>
          </w:p>
        </w:tc>
        <w:tc>
          <w:tcPr>
            <w:tcW w:w="617"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0.6</w:t>
            </w:r>
          </w:p>
        </w:tc>
      </w:tr>
      <w:tr w:rsidR="005E507A" w:rsidRPr="00AE0D77" w:rsidTr="00FC4D3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-0.1</w:t>
            </w:r>
          </w:p>
        </w:tc>
        <w:tc>
          <w:tcPr>
            <w:tcW w:w="644"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0.6</w:t>
            </w:r>
          </w:p>
        </w:tc>
        <w:tc>
          <w:tcPr>
            <w:tcW w:w="619" w:type="pct"/>
            <w:tcBorders>
              <w:top w:val="nil"/>
              <w:left w:val="nil"/>
              <w:bottom w:val="single" w:sz="4" w:space="0" w:color="auto"/>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1.3</w:t>
            </w:r>
          </w:p>
        </w:tc>
        <w:tc>
          <w:tcPr>
            <w:tcW w:w="679"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-0.1</w:t>
            </w:r>
          </w:p>
        </w:tc>
        <w:tc>
          <w:tcPr>
            <w:tcW w:w="631"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1.0</w:t>
            </w:r>
          </w:p>
        </w:tc>
        <w:tc>
          <w:tcPr>
            <w:tcW w:w="617"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0.6</w:t>
            </w:r>
          </w:p>
        </w:tc>
      </w:tr>
      <w:tr w:rsidR="005E507A" w:rsidRPr="00AE0D77" w:rsidTr="00FC4D3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E507A" w:rsidRPr="00AE0D77" w:rsidRDefault="005E507A" w:rsidP="00FC4D38">
            <w:pPr>
              <w:rPr>
                <w:rFonts w:eastAsia="標楷體"/>
                <w:bCs/>
                <w:sz w:val="28"/>
                <w:szCs w:val="32"/>
              </w:rPr>
            </w:pPr>
            <w:r w:rsidRPr="00AE0D77">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rPr>
                <w:rFonts w:eastAsia="標楷體"/>
                <w:bCs/>
                <w:sz w:val="28"/>
                <w:szCs w:val="32"/>
              </w:rPr>
            </w:pPr>
            <w:r w:rsidRPr="00AE0D7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1.5</w:t>
            </w:r>
          </w:p>
        </w:tc>
        <w:tc>
          <w:tcPr>
            <w:tcW w:w="644"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2.1</w:t>
            </w:r>
          </w:p>
        </w:tc>
        <w:tc>
          <w:tcPr>
            <w:tcW w:w="619" w:type="pct"/>
            <w:tcBorders>
              <w:top w:val="single" w:sz="4" w:space="0" w:color="auto"/>
              <w:left w:val="nil"/>
              <w:bottom w:val="nil"/>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2.1</w:t>
            </w:r>
          </w:p>
        </w:tc>
        <w:tc>
          <w:tcPr>
            <w:tcW w:w="679" w:type="pct"/>
            <w:tcBorders>
              <w:top w:val="single" w:sz="4"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1.4</w:t>
            </w:r>
          </w:p>
        </w:tc>
        <w:tc>
          <w:tcPr>
            <w:tcW w:w="631"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1.7</w:t>
            </w:r>
          </w:p>
        </w:tc>
        <w:tc>
          <w:tcPr>
            <w:tcW w:w="617"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1.9</w:t>
            </w:r>
          </w:p>
        </w:tc>
      </w:tr>
      <w:tr w:rsidR="005E507A" w:rsidRPr="00AE0D77" w:rsidTr="00FC4D3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1.4</w:t>
            </w:r>
          </w:p>
        </w:tc>
        <w:tc>
          <w:tcPr>
            <w:tcW w:w="644"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1.2</w:t>
            </w:r>
          </w:p>
        </w:tc>
        <w:tc>
          <w:tcPr>
            <w:tcW w:w="619" w:type="pct"/>
            <w:tcBorders>
              <w:top w:val="nil"/>
              <w:left w:val="nil"/>
              <w:bottom w:val="single" w:sz="4" w:space="0" w:color="auto"/>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1.3</w:t>
            </w:r>
          </w:p>
        </w:tc>
        <w:tc>
          <w:tcPr>
            <w:tcW w:w="679" w:type="pct"/>
            <w:tcBorders>
              <w:top w:val="nil"/>
              <w:left w:val="single" w:sz="6" w:space="0" w:color="auto"/>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1.4</w:t>
            </w:r>
          </w:p>
        </w:tc>
        <w:tc>
          <w:tcPr>
            <w:tcW w:w="631"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1.4</w:t>
            </w:r>
          </w:p>
        </w:tc>
        <w:tc>
          <w:tcPr>
            <w:tcW w:w="617"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1.3</w:t>
            </w:r>
          </w:p>
        </w:tc>
      </w:tr>
      <w:tr w:rsidR="005E507A" w:rsidRPr="00AE0D77" w:rsidTr="00FC4D3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E507A" w:rsidRPr="00AE0D77" w:rsidRDefault="005E507A" w:rsidP="00FC4D38">
            <w:pPr>
              <w:rPr>
                <w:rFonts w:eastAsia="標楷體"/>
                <w:bCs/>
                <w:sz w:val="28"/>
                <w:szCs w:val="32"/>
              </w:rPr>
            </w:pPr>
            <w:r w:rsidRPr="00AE0D77">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rPr>
                <w:rFonts w:eastAsia="標楷體"/>
                <w:bCs/>
                <w:sz w:val="28"/>
                <w:szCs w:val="32"/>
              </w:rPr>
            </w:pPr>
            <w:r w:rsidRPr="00AE0D7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6.7</w:t>
            </w:r>
          </w:p>
        </w:tc>
        <w:tc>
          <w:tcPr>
            <w:tcW w:w="644"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6.6</w:t>
            </w:r>
          </w:p>
        </w:tc>
        <w:tc>
          <w:tcPr>
            <w:tcW w:w="619" w:type="pct"/>
            <w:tcBorders>
              <w:top w:val="single" w:sz="4" w:space="0" w:color="auto"/>
              <w:left w:val="nil"/>
              <w:bottom w:val="nil"/>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6.3</w:t>
            </w:r>
          </w:p>
        </w:tc>
        <w:tc>
          <w:tcPr>
            <w:tcW w:w="679"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6.7</w:t>
            </w:r>
          </w:p>
        </w:tc>
        <w:tc>
          <w:tcPr>
            <w:tcW w:w="631"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6.6</w:t>
            </w:r>
          </w:p>
        </w:tc>
        <w:tc>
          <w:tcPr>
            <w:tcW w:w="617"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6.2</w:t>
            </w:r>
          </w:p>
        </w:tc>
      </w:tr>
      <w:tr w:rsidR="005E507A" w:rsidRPr="00AE0D77" w:rsidTr="00FC4D3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2.0</w:t>
            </w:r>
          </w:p>
        </w:tc>
        <w:tc>
          <w:tcPr>
            <w:tcW w:w="644"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1.8</w:t>
            </w:r>
          </w:p>
        </w:tc>
        <w:tc>
          <w:tcPr>
            <w:tcW w:w="619" w:type="pct"/>
            <w:tcBorders>
              <w:top w:val="nil"/>
              <w:left w:val="nil"/>
              <w:bottom w:val="single" w:sz="4" w:space="0" w:color="auto"/>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2.5</w:t>
            </w:r>
          </w:p>
        </w:tc>
        <w:tc>
          <w:tcPr>
            <w:tcW w:w="679"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2.0</w:t>
            </w:r>
          </w:p>
        </w:tc>
        <w:tc>
          <w:tcPr>
            <w:tcW w:w="631"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2.4</w:t>
            </w:r>
          </w:p>
        </w:tc>
        <w:tc>
          <w:tcPr>
            <w:tcW w:w="617"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2.3</w:t>
            </w:r>
          </w:p>
        </w:tc>
      </w:tr>
      <w:tr w:rsidR="005E507A" w:rsidRPr="00AE0D77" w:rsidTr="00FC4D3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lang w:val="zh-TW"/>
              </w:rPr>
              <w:t>新</w:t>
            </w:r>
            <w:r w:rsidRPr="00AE0D77">
              <w:rPr>
                <w:rFonts w:eastAsia="標楷體"/>
                <w:bCs/>
                <w:sz w:val="28"/>
                <w:szCs w:val="32"/>
              </w:rPr>
              <w:t xml:space="preserve"> </w:t>
            </w:r>
            <w:r w:rsidRPr="00AE0D77">
              <w:rPr>
                <w:rFonts w:eastAsia="標楷體"/>
                <w:bCs/>
                <w:sz w:val="28"/>
                <w:szCs w:val="32"/>
                <w:lang w:val="zh-TW"/>
              </w:rPr>
              <w:t>加</w:t>
            </w:r>
            <w:r w:rsidRPr="00AE0D77">
              <w:rPr>
                <w:rFonts w:eastAsia="標楷體"/>
                <w:bCs/>
                <w:sz w:val="28"/>
                <w:szCs w:val="32"/>
              </w:rPr>
              <w:t xml:space="preserve"> </w:t>
            </w:r>
            <w:r w:rsidRPr="00AE0D77">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2.0</w:t>
            </w:r>
          </w:p>
        </w:tc>
        <w:tc>
          <w:tcPr>
            <w:tcW w:w="644"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2.5</w:t>
            </w:r>
          </w:p>
        </w:tc>
        <w:tc>
          <w:tcPr>
            <w:tcW w:w="619" w:type="pct"/>
            <w:tcBorders>
              <w:top w:val="single" w:sz="4" w:space="0" w:color="auto"/>
              <w:left w:val="nil"/>
              <w:bottom w:val="nil"/>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2.4</w:t>
            </w:r>
          </w:p>
        </w:tc>
        <w:tc>
          <w:tcPr>
            <w:tcW w:w="679"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2.0</w:t>
            </w:r>
          </w:p>
        </w:tc>
        <w:tc>
          <w:tcPr>
            <w:tcW w:w="631"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2.2</w:t>
            </w:r>
          </w:p>
        </w:tc>
        <w:tc>
          <w:tcPr>
            <w:tcW w:w="617"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2.6</w:t>
            </w:r>
          </w:p>
        </w:tc>
      </w:tr>
      <w:tr w:rsidR="005E507A" w:rsidRPr="00AE0D77" w:rsidTr="00FC4D3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-0.5</w:t>
            </w:r>
          </w:p>
        </w:tc>
        <w:tc>
          <w:tcPr>
            <w:tcW w:w="644"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0.9</w:t>
            </w:r>
          </w:p>
        </w:tc>
        <w:tc>
          <w:tcPr>
            <w:tcW w:w="619" w:type="pct"/>
            <w:tcBorders>
              <w:top w:val="nil"/>
              <w:left w:val="nil"/>
              <w:bottom w:val="single" w:sz="4" w:space="0" w:color="auto"/>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2.2</w:t>
            </w:r>
          </w:p>
        </w:tc>
        <w:tc>
          <w:tcPr>
            <w:tcW w:w="679"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-0.5</w:t>
            </w:r>
          </w:p>
        </w:tc>
        <w:tc>
          <w:tcPr>
            <w:tcW w:w="631"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1.1</w:t>
            </w:r>
          </w:p>
        </w:tc>
        <w:tc>
          <w:tcPr>
            <w:tcW w:w="617"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1.8</w:t>
            </w:r>
          </w:p>
        </w:tc>
      </w:tr>
      <w:tr w:rsidR="005E507A" w:rsidRPr="00AE0D77" w:rsidTr="00FC4D3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lang w:val="zh-TW"/>
              </w:rPr>
              <w:t>韓</w:t>
            </w:r>
            <w:r w:rsidRPr="00AE0D77">
              <w:rPr>
                <w:rFonts w:eastAsia="標楷體"/>
                <w:bCs/>
                <w:sz w:val="28"/>
                <w:szCs w:val="32"/>
              </w:rPr>
              <w:t xml:space="preserve">    </w:t>
            </w:r>
            <w:r w:rsidRPr="00AE0D77">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2.9</w:t>
            </w:r>
          </w:p>
        </w:tc>
        <w:tc>
          <w:tcPr>
            <w:tcW w:w="644"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2.8</w:t>
            </w:r>
          </w:p>
        </w:tc>
        <w:tc>
          <w:tcPr>
            <w:tcW w:w="619" w:type="pct"/>
            <w:tcBorders>
              <w:top w:val="single" w:sz="4" w:space="0" w:color="auto"/>
              <w:left w:val="nil"/>
              <w:bottom w:val="nil"/>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2.8</w:t>
            </w:r>
          </w:p>
        </w:tc>
        <w:tc>
          <w:tcPr>
            <w:tcW w:w="679"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2.8</w:t>
            </w:r>
          </w:p>
        </w:tc>
        <w:tc>
          <w:tcPr>
            <w:tcW w:w="631"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2.7</w:t>
            </w:r>
          </w:p>
        </w:tc>
        <w:tc>
          <w:tcPr>
            <w:tcW w:w="617"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2.8</w:t>
            </w:r>
          </w:p>
        </w:tc>
      </w:tr>
      <w:tr w:rsidR="005E507A" w:rsidRPr="00AE0D77" w:rsidTr="00FC4D3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1.0</w:t>
            </w:r>
          </w:p>
        </w:tc>
        <w:tc>
          <w:tcPr>
            <w:tcW w:w="644"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2.1</w:t>
            </w:r>
          </w:p>
        </w:tc>
        <w:tc>
          <w:tcPr>
            <w:tcW w:w="619" w:type="pct"/>
            <w:tcBorders>
              <w:top w:val="nil"/>
              <w:left w:val="nil"/>
              <w:bottom w:val="single" w:sz="4" w:space="0" w:color="auto"/>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2.4</w:t>
            </w:r>
          </w:p>
        </w:tc>
        <w:tc>
          <w:tcPr>
            <w:tcW w:w="679"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1.0</w:t>
            </w:r>
          </w:p>
        </w:tc>
        <w:tc>
          <w:tcPr>
            <w:tcW w:w="631"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1.8</w:t>
            </w:r>
          </w:p>
        </w:tc>
        <w:tc>
          <w:tcPr>
            <w:tcW w:w="617" w:type="pct"/>
            <w:tcBorders>
              <w:top w:val="nil"/>
              <w:left w:val="nil"/>
              <w:bottom w:val="single" w:sz="4"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1.9</w:t>
            </w:r>
          </w:p>
        </w:tc>
      </w:tr>
      <w:tr w:rsidR="005E507A" w:rsidRPr="00AE0D77" w:rsidTr="00FC4D3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lang w:val="zh-TW"/>
              </w:rPr>
              <w:t>香</w:t>
            </w:r>
            <w:r w:rsidRPr="00AE0D77">
              <w:rPr>
                <w:rFonts w:eastAsia="標楷體"/>
                <w:bCs/>
                <w:sz w:val="28"/>
                <w:szCs w:val="32"/>
              </w:rPr>
              <w:t xml:space="preserve">    </w:t>
            </w:r>
            <w:r w:rsidRPr="00AE0D77">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2.0</w:t>
            </w:r>
          </w:p>
        </w:tc>
        <w:tc>
          <w:tcPr>
            <w:tcW w:w="644"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2.6</w:t>
            </w:r>
          </w:p>
        </w:tc>
        <w:tc>
          <w:tcPr>
            <w:tcW w:w="619" w:type="pct"/>
            <w:tcBorders>
              <w:top w:val="single" w:sz="4" w:space="0" w:color="auto"/>
              <w:left w:val="nil"/>
              <w:bottom w:val="nil"/>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2.4</w:t>
            </w:r>
          </w:p>
        </w:tc>
        <w:tc>
          <w:tcPr>
            <w:tcW w:w="679"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1.9</w:t>
            </w:r>
          </w:p>
        </w:tc>
        <w:tc>
          <w:tcPr>
            <w:tcW w:w="631"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2.4</w:t>
            </w:r>
          </w:p>
        </w:tc>
        <w:tc>
          <w:tcPr>
            <w:tcW w:w="617" w:type="pct"/>
            <w:tcBorders>
              <w:top w:val="single" w:sz="4" w:space="0" w:color="auto"/>
              <w:left w:val="nil"/>
              <w:bottom w:val="nil"/>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2.5</w:t>
            </w:r>
          </w:p>
        </w:tc>
      </w:tr>
      <w:tr w:rsidR="005E507A" w:rsidRPr="00AE0D77" w:rsidTr="00FC4D3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5E507A" w:rsidRPr="00AE0D77" w:rsidRDefault="005E507A" w:rsidP="00FC4D38">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E507A" w:rsidRPr="00AE0D77" w:rsidRDefault="005E507A" w:rsidP="00FC4D38">
            <w:pPr>
              <w:autoSpaceDE w:val="0"/>
              <w:autoSpaceDN w:val="0"/>
              <w:adjustRightInd w:val="0"/>
              <w:snapToGrid w:val="0"/>
              <w:spacing w:before="100" w:line="240" w:lineRule="exact"/>
              <w:jc w:val="center"/>
              <w:rPr>
                <w:rFonts w:eastAsia="標楷體"/>
                <w:bCs/>
                <w:sz w:val="28"/>
                <w:szCs w:val="32"/>
              </w:rPr>
            </w:pPr>
            <w:r w:rsidRPr="00AE0D77">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2.4</w:t>
            </w:r>
          </w:p>
        </w:tc>
        <w:tc>
          <w:tcPr>
            <w:tcW w:w="644" w:type="pct"/>
            <w:tcBorders>
              <w:top w:val="nil"/>
              <w:left w:val="nil"/>
              <w:bottom w:val="single" w:sz="6"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1.8</w:t>
            </w:r>
          </w:p>
        </w:tc>
        <w:tc>
          <w:tcPr>
            <w:tcW w:w="619" w:type="pct"/>
            <w:tcBorders>
              <w:top w:val="nil"/>
              <w:left w:val="nil"/>
              <w:bottom w:val="single" w:sz="6" w:space="0" w:color="auto"/>
              <w:right w:val="single" w:sz="6" w:space="0" w:color="auto"/>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2.0</w:t>
            </w:r>
          </w:p>
        </w:tc>
        <w:tc>
          <w:tcPr>
            <w:tcW w:w="679" w:type="pct"/>
            <w:tcBorders>
              <w:top w:val="nil"/>
              <w:left w:val="nil"/>
              <w:bottom w:val="single" w:sz="6"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2.6</w:t>
            </w:r>
          </w:p>
        </w:tc>
        <w:tc>
          <w:tcPr>
            <w:tcW w:w="631" w:type="pct"/>
            <w:tcBorders>
              <w:top w:val="nil"/>
              <w:left w:val="nil"/>
              <w:bottom w:val="single" w:sz="6"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2.6</w:t>
            </w:r>
          </w:p>
        </w:tc>
        <w:tc>
          <w:tcPr>
            <w:tcW w:w="617" w:type="pct"/>
            <w:tcBorders>
              <w:top w:val="nil"/>
              <w:left w:val="nil"/>
              <w:bottom w:val="single" w:sz="6" w:space="0" w:color="auto"/>
              <w:right w:val="nil"/>
            </w:tcBorders>
            <w:vAlign w:val="center"/>
          </w:tcPr>
          <w:p w:rsidR="005E507A" w:rsidRPr="00AE0D77" w:rsidRDefault="005E507A" w:rsidP="00FC4D38">
            <w:pPr>
              <w:autoSpaceDE w:val="0"/>
              <w:autoSpaceDN w:val="0"/>
              <w:adjustRightInd w:val="0"/>
              <w:snapToGrid w:val="0"/>
              <w:spacing w:before="100" w:line="240" w:lineRule="exact"/>
              <w:jc w:val="center"/>
              <w:rPr>
                <w:rFonts w:eastAsia="標楷體"/>
                <w:bCs/>
              </w:rPr>
            </w:pPr>
            <w:r w:rsidRPr="00AE0D77">
              <w:rPr>
                <w:rFonts w:eastAsia="標楷體"/>
                <w:bCs/>
              </w:rPr>
              <w:t>2.7</w:t>
            </w:r>
          </w:p>
        </w:tc>
      </w:tr>
    </w:tbl>
    <w:p w:rsidR="005E507A" w:rsidRPr="00AE0D77" w:rsidRDefault="005E507A" w:rsidP="005E507A">
      <w:pPr>
        <w:autoSpaceDE w:val="0"/>
        <w:autoSpaceDN w:val="0"/>
        <w:adjustRightInd w:val="0"/>
        <w:snapToGrid w:val="0"/>
        <w:spacing w:line="220" w:lineRule="exact"/>
        <w:ind w:leftChars="-93" w:left="-223" w:firstLineChars="94" w:firstLine="207"/>
        <w:jc w:val="both"/>
        <w:rPr>
          <w:rFonts w:eastAsia="標楷體"/>
          <w:bCs/>
          <w:sz w:val="22"/>
        </w:rPr>
      </w:pPr>
      <w:r w:rsidRPr="00AE0D77">
        <w:rPr>
          <w:rFonts w:eastAsia="標楷體"/>
          <w:bCs/>
          <w:sz w:val="22"/>
          <w:lang w:val="zh-TW"/>
        </w:rPr>
        <w:t>註</w:t>
      </w:r>
      <w:r w:rsidRPr="00AE0D77">
        <w:rPr>
          <w:rFonts w:eastAsia="標楷體"/>
          <w:bCs/>
          <w:sz w:val="22"/>
        </w:rPr>
        <w:t>：</w:t>
      </w:r>
      <w:r w:rsidRPr="00AE0D77">
        <w:rPr>
          <w:rFonts w:eastAsia="標楷體"/>
          <w:bCs/>
          <w:sz w:val="22"/>
        </w:rPr>
        <w:t>(f)</w:t>
      </w:r>
      <w:r w:rsidRPr="00AE0D77">
        <w:rPr>
          <w:rFonts w:eastAsia="標楷體"/>
          <w:bCs/>
          <w:sz w:val="22"/>
        </w:rPr>
        <w:t>為預測值。</w:t>
      </w:r>
    </w:p>
    <w:p w:rsidR="005E507A" w:rsidRPr="00AE0D77" w:rsidRDefault="005E507A" w:rsidP="005E507A">
      <w:pPr>
        <w:autoSpaceDE w:val="0"/>
        <w:autoSpaceDN w:val="0"/>
        <w:adjustRightInd w:val="0"/>
        <w:snapToGrid w:val="0"/>
        <w:spacing w:line="220" w:lineRule="exact"/>
        <w:ind w:leftChars="-105" w:left="-252" w:firstLine="224"/>
        <w:jc w:val="both"/>
        <w:rPr>
          <w:rFonts w:eastAsia="標楷體"/>
          <w:bCs/>
          <w:sz w:val="22"/>
        </w:rPr>
      </w:pPr>
      <w:r w:rsidRPr="00AE0D77">
        <w:rPr>
          <w:rFonts w:eastAsia="標楷體"/>
          <w:bCs/>
          <w:sz w:val="22"/>
          <w:lang w:val="zh-TW"/>
        </w:rPr>
        <w:t>資料來源</w:t>
      </w:r>
      <w:r w:rsidRPr="00AE0D77">
        <w:rPr>
          <w:rFonts w:eastAsia="標楷體"/>
          <w:bCs/>
          <w:sz w:val="22"/>
        </w:rPr>
        <w:t>：</w:t>
      </w:r>
      <w:r w:rsidRPr="00AE0D77">
        <w:rPr>
          <w:rFonts w:eastAsia="標楷體"/>
          <w:bCs/>
          <w:sz w:val="22"/>
        </w:rPr>
        <w:t xml:space="preserve">1.Global Insight Inc., </w:t>
      </w:r>
      <w:r w:rsidRPr="00AE0D77">
        <w:rPr>
          <w:rFonts w:eastAsia="標楷體"/>
          <w:bCs/>
          <w:i/>
          <w:iCs/>
          <w:sz w:val="22"/>
        </w:rPr>
        <w:t>World Overview</w:t>
      </w:r>
      <w:r w:rsidRPr="00AE0D77">
        <w:rPr>
          <w:rFonts w:eastAsia="標楷體"/>
          <w:bCs/>
          <w:sz w:val="22"/>
        </w:rPr>
        <w:t>,</w:t>
      </w:r>
      <w:r w:rsidRPr="00AE0D77">
        <w:rPr>
          <w:rFonts w:eastAsia="標楷體"/>
          <w:sz w:val="22"/>
        </w:rPr>
        <w:t xml:space="preserve"> June 2017</w:t>
      </w:r>
      <w:r w:rsidRPr="00AE0D77">
        <w:rPr>
          <w:rFonts w:eastAsia="標楷體"/>
          <w:bCs/>
          <w:sz w:val="22"/>
        </w:rPr>
        <w:t>。</w:t>
      </w:r>
    </w:p>
    <w:p w:rsidR="00DF623B" w:rsidRPr="00AE0D77" w:rsidRDefault="005E507A" w:rsidP="005E507A">
      <w:pPr>
        <w:autoSpaceDE w:val="0"/>
        <w:autoSpaceDN w:val="0"/>
        <w:adjustRightInd w:val="0"/>
        <w:snapToGrid w:val="0"/>
        <w:spacing w:line="220" w:lineRule="exact"/>
        <w:ind w:leftChars="457" w:left="1207" w:hangingChars="50" w:hanging="110"/>
        <w:jc w:val="both"/>
        <w:rPr>
          <w:rFonts w:eastAsia="標楷體"/>
          <w:bCs/>
          <w:sz w:val="22"/>
          <w:szCs w:val="22"/>
        </w:rPr>
      </w:pPr>
      <w:r w:rsidRPr="00AE0D77">
        <w:rPr>
          <w:rFonts w:eastAsia="標楷體"/>
          <w:bCs/>
          <w:sz w:val="22"/>
        </w:rPr>
        <w:t xml:space="preserve">2.IMF, </w:t>
      </w:r>
      <w:r w:rsidRPr="00AE0D77">
        <w:rPr>
          <w:rFonts w:eastAsia="標楷體"/>
          <w:bCs/>
          <w:i/>
          <w:iCs/>
          <w:sz w:val="22"/>
        </w:rPr>
        <w:t>World Economic Outlook</w:t>
      </w:r>
      <w:r w:rsidRPr="00AE0D77">
        <w:rPr>
          <w:rFonts w:eastAsia="標楷體"/>
          <w:bCs/>
          <w:sz w:val="22"/>
        </w:rPr>
        <w:t>,</w:t>
      </w:r>
      <w:r w:rsidRPr="00AE0D77">
        <w:rPr>
          <w:rFonts w:eastAsia="標楷體"/>
          <w:sz w:val="22"/>
        </w:rPr>
        <w:t xml:space="preserve"> April 2017</w:t>
      </w:r>
      <w:r w:rsidRPr="00AE0D77">
        <w:rPr>
          <w:rFonts w:eastAsia="標楷體"/>
          <w:bCs/>
          <w:sz w:val="22"/>
        </w:rPr>
        <w:t>。</w:t>
      </w:r>
    </w:p>
    <w:p w:rsidR="002722F7" w:rsidRPr="00AE0D77" w:rsidRDefault="002722F7" w:rsidP="002722F7">
      <w:pPr>
        <w:autoSpaceDE w:val="0"/>
        <w:autoSpaceDN w:val="0"/>
        <w:adjustRightInd w:val="0"/>
        <w:snapToGrid w:val="0"/>
        <w:spacing w:line="220" w:lineRule="exact"/>
        <w:ind w:leftChars="430" w:left="1032" w:firstLineChars="27" w:firstLine="59"/>
        <w:jc w:val="both"/>
        <w:rPr>
          <w:rFonts w:eastAsia="標楷體"/>
          <w:bCs/>
          <w:sz w:val="22"/>
          <w:szCs w:val="22"/>
        </w:rPr>
      </w:pPr>
    </w:p>
    <w:p w:rsidR="00577DFB" w:rsidRPr="00AE0D77" w:rsidRDefault="00577DFB" w:rsidP="00577DFB">
      <w:pPr>
        <w:spacing w:line="220" w:lineRule="exact"/>
        <w:rPr>
          <w:rFonts w:eastAsia="標楷體"/>
          <w:bCs/>
          <w:sz w:val="22"/>
        </w:rPr>
      </w:pPr>
    </w:p>
    <w:p w:rsidR="00577DFB" w:rsidRPr="00AE0D77" w:rsidRDefault="00577DFB" w:rsidP="00577DFB">
      <w:pPr>
        <w:keepNext/>
        <w:snapToGrid w:val="0"/>
        <w:jc w:val="center"/>
        <w:outlineLvl w:val="1"/>
        <w:rPr>
          <w:rFonts w:eastAsia="標楷體"/>
          <w:b/>
          <w:sz w:val="32"/>
          <w:szCs w:val="32"/>
          <w:lang w:val="zh-TW"/>
        </w:rPr>
      </w:pPr>
      <w:bookmarkStart w:id="38" w:name="_Toc401923786"/>
      <w:bookmarkStart w:id="39" w:name="_Toc402171701"/>
      <w:bookmarkStart w:id="40" w:name="_Toc415126203"/>
      <w:bookmarkStart w:id="41" w:name="_Toc486347619"/>
      <w:r w:rsidRPr="00AE0D77">
        <w:rPr>
          <w:rFonts w:eastAsia="標楷體"/>
          <w:b/>
          <w:sz w:val="32"/>
          <w:szCs w:val="32"/>
          <w:lang w:val="zh-TW"/>
        </w:rPr>
        <w:t>表</w:t>
      </w:r>
      <w:r w:rsidRPr="00AE0D77">
        <w:rPr>
          <w:rFonts w:eastAsia="標楷體"/>
          <w:b/>
          <w:sz w:val="32"/>
          <w:szCs w:val="32"/>
          <w:lang w:val="zh-TW"/>
        </w:rPr>
        <w:t xml:space="preserve">2  </w:t>
      </w:r>
      <w:r w:rsidRPr="00AE0D77">
        <w:rPr>
          <w:rFonts w:eastAsia="標楷體"/>
          <w:b/>
          <w:sz w:val="32"/>
          <w:szCs w:val="32"/>
          <w:lang w:val="zh-TW"/>
        </w:rPr>
        <w:t>世界貿易量成長率</w:t>
      </w:r>
      <w:bookmarkEnd w:id="38"/>
      <w:bookmarkEnd w:id="39"/>
      <w:bookmarkEnd w:id="40"/>
      <w:bookmarkEnd w:id="41"/>
      <w:r w:rsidRPr="00AE0D77">
        <w:rPr>
          <w:rFonts w:eastAsia="標楷體"/>
          <w:b/>
          <w:sz w:val="32"/>
          <w:szCs w:val="32"/>
          <w:lang w:val="zh-TW"/>
        </w:rPr>
        <w:t xml:space="preserve"> </w:t>
      </w:r>
    </w:p>
    <w:p w:rsidR="00577DFB" w:rsidRPr="00AE0D77" w:rsidRDefault="00577DFB" w:rsidP="00577DFB">
      <w:pPr>
        <w:autoSpaceDE w:val="0"/>
        <w:autoSpaceDN w:val="0"/>
        <w:adjustRightInd w:val="0"/>
        <w:snapToGrid w:val="0"/>
        <w:spacing w:line="240" w:lineRule="exact"/>
        <w:jc w:val="right"/>
        <w:rPr>
          <w:rFonts w:eastAsia="標楷體"/>
          <w:bCs/>
          <w:sz w:val="28"/>
          <w:szCs w:val="32"/>
        </w:rPr>
      </w:pPr>
      <w:r w:rsidRPr="00AE0D77">
        <w:rPr>
          <w:rFonts w:eastAsia="標楷體"/>
          <w:bCs/>
          <w:sz w:val="28"/>
          <w:szCs w:val="32"/>
        </w:rPr>
        <w:t xml:space="preserve">              </w:t>
      </w:r>
      <w:r w:rsidRPr="00AE0D77">
        <w:rPr>
          <w:rFonts w:eastAsia="標楷體"/>
          <w:bCs/>
          <w:szCs w:val="32"/>
          <w:lang w:val="zh-TW"/>
        </w:rPr>
        <w:t>單位</w:t>
      </w:r>
      <w:r w:rsidRPr="00AE0D77">
        <w:rPr>
          <w:rFonts w:eastAsia="標楷體"/>
          <w:bCs/>
          <w:szCs w:val="32"/>
        </w:rPr>
        <w:t>：</w:t>
      </w:r>
      <w:r w:rsidRPr="00AE0D77">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5E507A" w:rsidRPr="00AE0D77" w:rsidTr="00FC4D38">
        <w:trPr>
          <w:trHeight w:val="301"/>
        </w:trPr>
        <w:tc>
          <w:tcPr>
            <w:tcW w:w="1456" w:type="pct"/>
            <w:tcBorders>
              <w:top w:val="single" w:sz="6" w:space="0" w:color="auto"/>
              <w:left w:val="nil"/>
              <w:bottom w:val="single" w:sz="6" w:space="0" w:color="auto"/>
              <w:right w:val="single" w:sz="4" w:space="0" w:color="auto"/>
            </w:tcBorders>
            <w:vAlign w:val="center"/>
          </w:tcPr>
          <w:p w:rsidR="005E507A" w:rsidRPr="00AE0D77" w:rsidRDefault="005E507A" w:rsidP="00FC4D38">
            <w:pPr>
              <w:autoSpaceDE w:val="0"/>
              <w:autoSpaceDN w:val="0"/>
              <w:adjustRightInd w:val="0"/>
              <w:snapToGrid w:val="0"/>
              <w:spacing w:line="240" w:lineRule="exact"/>
              <w:ind w:leftChars="-450" w:left="-1080" w:firstLineChars="900" w:firstLine="2160"/>
              <w:rPr>
                <w:rFonts w:eastAsia="標楷體"/>
                <w:bCs/>
              </w:rPr>
            </w:pPr>
          </w:p>
        </w:tc>
        <w:tc>
          <w:tcPr>
            <w:tcW w:w="1183" w:type="pct"/>
            <w:tcBorders>
              <w:top w:val="single" w:sz="6" w:space="0" w:color="auto"/>
              <w:left w:val="single" w:sz="6" w:space="0" w:color="auto"/>
              <w:bottom w:val="single" w:sz="6" w:space="0" w:color="auto"/>
              <w:right w:val="single" w:sz="6" w:space="0" w:color="auto"/>
            </w:tcBorders>
            <w:vAlign w:val="center"/>
          </w:tcPr>
          <w:p w:rsidR="005E507A" w:rsidRPr="00AE0D77" w:rsidRDefault="005E507A" w:rsidP="00FC4D38">
            <w:pPr>
              <w:autoSpaceDE w:val="0"/>
              <w:autoSpaceDN w:val="0"/>
              <w:adjustRightInd w:val="0"/>
              <w:snapToGrid w:val="0"/>
              <w:spacing w:line="240" w:lineRule="exact"/>
              <w:ind w:firstLineChars="250" w:firstLine="600"/>
              <w:rPr>
                <w:rFonts w:eastAsia="標楷體"/>
                <w:bCs/>
              </w:rPr>
            </w:pPr>
            <w:r w:rsidRPr="00AE0D77">
              <w:rPr>
                <w:rFonts w:eastAsia="標楷體"/>
                <w:bCs/>
              </w:rPr>
              <w:t>2016</w:t>
            </w:r>
          </w:p>
        </w:tc>
        <w:tc>
          <w:tcPr>
            <w:tcW w:w="1181" w:type="pct"/>
            <w:tcBorders>
              <w:top w:val="single" w:sz="6" w:space="0" w:color="auto"/>
              <w:left w:val="single" w:sz="6" w:space="0" w:color="auto"/>
              <w:bottom w:val="single" w:sz="6" w:space="0" w:color="auto"/>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250" w:firstLine="600"/>
              <w:jc w:val="both"/>
              <w:rPr>
                <w:rFonts w:eastAsia="標楷體"/>
                <w:bCs/>
              </w:rPr>
            </w:pPr>
            <w:r w:rsidRPr="00AE0D77">
              <w:rPr>
                <w:rFonts w:eastAsia="標楷體"/>
                <w:bCs/>
              </w:rPr>
              <w:t>2017(f)</w:t>
            </w:r>
          </w:p>
        </w:tc>
        <w:tc>
          <w:tcPr>
            <w:tcW w:w="1180" w:type="pct"/>
            <w:tcBorders>
              <w:top w:val="single" w:sz="6" w:space="0" w:color="auto"/>
              <w:left w:val="single" w:sz="4" w:space="0" w:color="auto"/>
              <w:bottom w:val="single" w:sz="6" w:space="0" w:color="auto"/>
              <w:right w:val="nil"/>
            </w:tcBorders>
            <w:vAlign w:val="center"/>
          </w:tcPr>
          <w:p w:rsidR="005E507A" w:rsidRPr="00AE0D77" w:rsidRDefault="005E507A" w:rsidP="00FC4D38">
            <w:pPr>
              <w:autoSpaceDE w:val="0"/>
              <w:autoSpaceDN w:val="0"/>
              <w:adjustRightInd w:val="0"/>
              <w:snapToGrid w:val="0"/>
              <w:spacing w:line="240" w:lineRule="exact"/>
              <w:ind w:firstLineChars="250" w:firstLine="600"/>
              <w:jc w:val="both"/>
              <w:rPr>
                <w:rFonts w:eastAsia="標楷體"/>
                <w:bCs/>
              </w:rPr>
            </w:pPr>
            <w:r w:rsidRPr="00AE0D77">
              <w:rPr>
                <w:rFonts w:eastAsia="標楷體"/>
                <w:bCs/>
              </w:rPr>
              <w:t>2018(f)</w:t>
            </w:r>
          </w:p>
        </w:tc>
      </w:tr>
      <w:tr w:rsidR="005E507A" w:rsidRPr="00AE0D77" w:rsidTr="00FC4D38">
        <w:trPr>
          <w:trHeight w:val="302"/>
        </w:trPr>
        <w:tc>
          <w:tcPr>
            <w:tcW w:w="1456" w:type="pct"/>
            <w:tcBorders>
              <w:top w:val="nil"/>
              <w:left w:val="nil"/>
              <w:bottom w:val="nil"/>
              <w:right w:val="single" w:sz="4" w:space="0" w:color="auto"/>
            </w:tcBorders>
            <w:vAlign w:val="center"/>
            <w:hideMark/>
          </w:tcPr>
          <w:p w:rsidR="005E507A" w:rsidRPr="00AE0D77" w:rsidRDefault="005E507A" w:rsidP="00FC4D38">
            <w:pPr>
              <w:autoSpaceDE w:val="0"/>
              <w:autoSpaceDN w:val="0"/>
              <w:adjustRightInd w:val="0"/>
              <w:snapToGrid w:val="0"/>
              <w:spacing w:line="240" w:lineRule="exact"/>
              <w:ind w:leftChars="-450" w:left="-1080" w:firstLineChars="900" w:firstLine="2160"/>
              <w:rPr>
                <w:rFonts w:eastAsia="標楷體"/>
                <w:bCs/>
              </w:rPr>
            </w:pPr>
            <w:r w:rsidRPr="00AE0D77">
              <w:rPr>
                <w:rFonts w:eastAsia="標楷體"/>
                <w:bCs/>
              </w:rPr>
              <w:t>IMF</w:t>
            </w:r>
          </w:p>
        </w:tc>
        <w:tc>
          <w:tcPr>
            <w:tcW w:w="1183" w:type="pct"/>
            <w:tcBorders>
              <w:top w:val="nil"/>
              <w:left w:val="single" w:sz="6" w:space="0" w:color="auto"/>
              <w:bottom w:val="nil"/>
              <w:right w:val="nil"/>
            </w:tcBorders>
            <w:vAlign w:val="center"/>
          </w:tcPr>
          <w:p w:rsidR="005E507A" w:rsidRPr="00AE0D77" w:rsidRDefault="005E507A" w:rsidP="00FC4D38">
            <w:pPr>
              <w:autoSpaceDE w:val="0"/>
              <w:autoSpaceDN w:val="0"/>
              <w:adjustRightInd w:val="0"/>
              <w:snapToGrid w:val="0"/>
              <w:spacing w:line="240" w:lineRule="exact"/>
              <w:ind w:firstLineChars="300" w:firstLine="720"/>
              <w:rPr>
                <w:rFonts w:eastAsia="標楷體"/>
                <w:bCs/>
              </w:rPr>
            </w:pPr>
            <w:r w:rsidRPr="00AE0D77">
              <w:rPr>
                <w:rFonts w:eastAsia="標楷體"/>
                <w:bCs/>
              </w:rPr>
              <w:t>2.2</w:t>
            </w:r>
          </w:p>
        </w:tc>
        <w:tc>
          <w:tcPr>
            <w:tcW w:w="1181" w:type="pct"/>
            <w:tcBorders>
              <w:top w:val="nil"/>
              <w:left w:val="single" w:sz="6" w:space="0" w:color="auto"/>
              <w:bottom w:val="nil"/>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300" w:firstLine="720"/>
              <w:jc w:val="both"/>
              <w:rPr>
                <w:rFonts w:eastAsia="標楷體"/>
                <w:bCs/>
              </w:rPr>
            </w:pPr>
            <w:r w:rsidRPr="00AE0D77">
              <w:rPr>
                <w:rFonts w:eastAsia="標楷體"/>
                <w:bCs/>
              </w:rPr>
              <w:t>3.8</w:t>
            </w:r>
          </w:p>
        </w:tc>
        <w:tc>
          <w:tcPr>
            <w:tcW w:w="1180" w:type="pct"/>
            <w:tcBorders>
              <w:top w:val="nil"/>
              <w:left w:val="single" w:sz="4" w:space="0" w:color="auto"/>
              <w:bottom w:val="nil"/>
              <w:right w:val="nil"/>
            </w:tcBorders>
            <w:vAlign w:val="center"/>
          </w:tcPr>
          <w:p w:rsidR="005E507A" w:rsidRPr="00AE0D77" w:rsidRDefault="005E507A" w:rsidP="00FC4D38">
            <w:pPr>
              <w:autoSpaceDE w:val="0"/>
              <w:autoSpaceDN w:val="0"/>
              <w:adjustRightInd w:val="0"/>
              <w:snapToGrid w:val="0"/>
              <w:spacing w:line="240" w:lineRule="exact"/>
              <w:ind w:firstLineChars="300" w:firstLine="720"/>
              <w:jc w:val="both"/>
              <w:rPr>
                <w:rFonts w:eastAsia="標楷體"/>
                <w:bCs/>
              </w:rPr>
            </w:pPr>
            <w:r w:rsidRPr="00AE0D77">
              <w:rPr>
                <w:rFonts w:eastAsia="標楷體"/>
                <w:bCs/>
              </w:rPr>
              <w:t>3.9</w:t>
            </w:r>
          </w:p>
        </w:tc>
      </w:tr>
      <w:tr w:rsidR="005E507A" w:rsidRPr="00AE0D77" w:rsidTr="00FC4D38">
        <w:trPr>
          <w:trHeight w:val="302"/>
        </w:trPr>
        <w:tc>
          <w:tcPr>
            <w:tcW w:w="1456" w:type="pct"/>
            <w:tcBorders>
              <w:top w:val="nil"/>
              <w:left w:val="nil"/>
              <w:bottom w:val="nil"/>
              <w:right w:val="single" w:sz="4" w:space="0" w:color="auto"/>
            </w:tcBorders>
            <w:vAlign w:val="center"/>
            <w:hideMark/>
          </w:tcPr>
          <w:p w:rsidR="005E507A" w:rsidRPr="00AE0D77" w:rsidRDefault="005E507A" w:rsidP="00FC4D38">
            <w:pPr>
              <w:autoSpaceDE w:val="0"/>
              <w:autoSpaceDN w:val="0"/>
              <w:adjustRightInd w:val="0"/>
              <w:snapToGrid w:val="0"/>
              <w:spacing w:line="240" w:lineRule="exact"/>
              <w:ind w:leftChars="-450" w:left="-1080" w:firstLineChars="900" w:firstLine="2160"/>
              <w:rPr>
                <w:rFonts w:eastAsia="標楷體"/>
                <w:bCs/>
              </w:rPr>
            </w:pPr>
            <w:r w:rsidRPr="00AE0D77">
              <w:rPr>
                <w:rFonts w:eastAsia="標楷體"/>
                <w:bCs/>
              </w:rPr>
              <w:t>UN</w:t>
            </w:r>
          </w:p>
        </w:tc>
        <w:tc>
          <w:tcPr>
            <w:tcW w:w="1183" w:type="pct"/>
            <w:tcBorders>
              <w:top w:val="nil"/>
              <w:left w:val="single" w:sz="4" w:space="0" w:color="auto"/>
              <w:bottom w:val="nil"/>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300" w:firstLine="720"/>
              <w:rPr>
                <w:rFonts w:eastAsia="標楷體"/>
                <w:bCs/>
              </w:rPr>
            </w:pPr>
            <w:r w:rsidRPr="00AE0D77">
              <w:rPr>
                <w:rFonts w:eastAsia="標楷體"/>
                <w:bCs/>
              </w:rPr>
              <w:t>1.2</w:t>
            </w:r>
          </w:p>
        </w:tc>
        <w:tc>
          <w:tcPr>
            <w:tcW w:w="1181" w:type="pct"/>
            <w:tcBorders>
              <w:top w:val="nil"/>
              <w:left w:val="single" w:sz="4" w:space="0" w:color="auto"/>
              <w:bottom w:val="nil"/>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300" w:firstLine="720"/>
              <w:jc w:val="both"/>
              <w:rPr>
                <w:rFonts w:eastAsia="標楷體"/>
                <w:bCs/>
              </w:rPr>
            </w:pPr>
            <w:r w:rsidRPr="00AE0D77">
              <w:rPr>
                <w:rFonts w:eastAsia="標楷體"/>
                <w:bCs/>
              </w:rPr>
              <w:t>2.7</w:t>
            </w:r>
          </w:p>
        </w:tc>
        <w:tc>
          <w:tcPr>
            <w:tcW w:w="1180" w:type="pct"/>
            <w:tcBorders>
              <w:top w:val="nil"/>
              <w:left w:val="single" w:sz="4" w:space="0" w:color="auto"/>
              <w:bottom w:val="nil"/>
              <w:right w:val="nil"/>
            </w:tcBorders>
            <w:vAlign w:val="center"/>
          </w:tcPr>
          <w:p w:rsidR="005E507A" w:rsidRPr="00AE0D77" w:rsidRDefault="005E507A" w:rsidP="00FC4D38">
            <w:pPr>
              <w:autoSpaceDE w:val="0"/>
              <w:autoSpaceDN w:val="0"/>
              <w:adjustRightInd w:val="0"/>
              <w:snapToGrid w:val="0"/>
              <w:spacing w:line="240" w:lineRule="exact"/>
              <w:ind w:firstLineChars="300" w:firstLine="720"/>
              <w:jc w:val="both"/>
              <w:rPr>
                <w:rFonts w:eastAsia="標楷體"/>
                <w:bCs/>
              </w:rPr>
            </w:pPr>
            <w:r w:rsidRPr="00AE0D77">
              <w:rPr>
                <w:rFonts w:eastAsia="標楷體"/>
                <w:bCs/>
              </w:rPr>
              <w:t>3.3</w:t>
            </w:r>
          </w:p>
        </w:tc>
      </w:tr>
      <w:tr w:rsidR="005E507A" w:rsidRPr="00AE0D77" w:rsidTr="00FC4D38">
        <w:trPr>
          <w:trHeight w:val="302"/>
        </w:trPr>
        <w:tc>
          <w:tcPr>
            <w:tcW w:w="1456" w:type="pct"/>
            <w:tcBorders>
              <w:top w:val="nil"/>
              <w:left w:val="nil"/>
              <w:bottom w:val="nil"/>
              <w:right w:val="single" w:sz="4" w:space="0" w:color="auto"/>
            </w:tcBorders>
            <w:vAlign w:val="center"/>
            <w:hideMark/>
          </w:tcPr>
          <w:p w:rsidR="005E507A" w:rsidRPr="00AE0D77" w:rsidRDefault="005E507A" w:rsidP="00FC4D38">
            <w:pPr>
              <w:autoSpaceDE w:val="0"/>
              <w:autoSpaceDN w:val="0"/>
              <w:adjustRightInd w:val="0"/>
              <w:snapToGrid w:val="0"/>
              <w:spacing w:line="240" w:lineRule="exact"/>
              <w:ind w:leftChars="-450" w:left="-1080" w:firstLineChars="900" w:firstLine="2160"/>
              <w:rPr>
                <w:rFonts w:eastAsia="標楷體"/>
                <w:bCs/>
              </w:rPr>
            </w:pPr>
            <w:r w:rsidRPr="00AE0D77">
              <w:rPr>
                <w:rFonts w:eastAsia="標楷體"/>
                <w:bCs/>
              </w:rPr>
              <w:t>OECD</w:t>
            </w:r>
          </w:p>
        </w:tc>
        <w:tc>
          <w:tcPr>
            <w:tcW w:w="1183" w:type="pct"/>
            <w:tcBorders>
              <w:top w:val="nil"/>
              <w:left w:val="single" w:sz="4" w:space="0" w:color="auto"/>
              <w:bottom w:val="nil"/>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300" w:firstLine="720"/>
              <w:rPr>
                <w:rFonts w:eastAsia="標楷體"/>
                <w:bCs/>
              </w:rPr>
            </w:pPr>
            <w:r w:rsidRPr="00AE0D77">
              <w:rPr>
                <w:rFonts w:eastAsia="標楷體"/>
                <w:bCs/>
              </w:rPr>
              <w:t>2.4</w:t>
            </w:r>
          </w:p>
        </w:tc>
        <w:tc>
          <w:tcPr>
            <w:tcW w:w="1181" w:type="pct"/>
            <w:tcBorders>
              <w:top w:val="nil"/>
              <w:left w:val="single" w:sz="4" w:space="0" w:color="auto"/>
              <w:bottom w:val="nil"/>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300" w:firstLine="720"/>
              <w:jc w:val="both"/>
              <w:rPr>
                <w:rFonts w:eastAsia="標楷體"/>
                <w:bCs/>
              </w:rPr>
            </w:pPr>
            <w:r w:rsidRPr="00AE0D77">
              <w:rPr>
                <w:rFonts w:eastAsia="標楷體"/>
                <w:bCs/>
              </w:rPr>
              <w:t>4.6</w:t>
            </w:r>
          </w:p>
        </w:tc>
        <w:tc>
          <w:tcPr>
            <w:tcW w:w="1180" w:type="pct"/>
            <w:tcBorders>
              <w:top w:val="nil"/>
              <w:left w:val="single" w:sz="4" w:space="0" w:color="auto"/>
              <w:bottom w:val="nil"/>
              <w:right w:val="nil"/>
            </w:tcBorders>
            <w:vAlign w:val="center"/>
          </w:tcPr>
          <w:p w:rsidR="005E507A" w:rsidRPr="00AE0D77" w:rsidRDefault="005E507A" w:rsidP="00FC4D38">
            <w:pPr>
              <w:autoSpaceDE w:val="0"/>
              <w:autoSpaceDN w:val="0"/>
              <w:adjustRightInd w:val="0"/>
              <w:snapToGrid w:val="0"/>
              <w:spacing w:line="240" w:lineRule="exact"/>
              <w:ind w:firstLineChars="300" w:firstLine="720"/>
              <w:jc w:val="both"/>
              <w:rPr>
                <w:rFonts w:eastAsia="標楷體"/>
                <w:bCs/>
              </w:rPr>
            </w:pPr>
            <w:r w:rsidRPr="00AE0D77">
              <w:rPr>
                <w:rFonts w:eastAsia="標楷體"/>
                <w:bCs/>
              </w:rPr>
              <w:t>3.8</w:t>
            </w:r>
          </w:p>
        </w:tc>
      </w:tr>
      <w:tr w:rsidR="005E507A" w:rsidRPr="00AE0D77" w:rsidTr="00FC4D38">
        <w:trPr>
          <w:trHeight w:val="302"/>
        </w:trPr>
        <w:tc>
          <w:tcPr>
            <w:tcW w:w="1456" w:type="pct"/>
            <w:tcBorders>
              <w:top w:val="nil"/>
              <w:left w:val="nil"/>
              <w:bottom w:val="nil"/>
              <w:right w:val="single" w:sz="4" w:space="0" w:color="auto"/>
            </w:tcBorders>
            <w:vAlign w:val="center"/>
            <w:hideMark/>
          </w:tcPr>
          <w:p w:rsidR="005E507A" w:rsidRPr="00AE0D77" w:rsidRDefault="005E507A" w:rsidP="00FC4D38">
            <w:pPr>
              <w:autoSpaceDE w:val="0"/>
              <w:autoSpaceDN w:val="0"/>
              <w:adjustRightInd w:val="0"/>
              <w:snapToGrid w:val="0"/>
              <w:spacing w:line="240" w:lineRule="exact"/>
              <w:ind w:leftChars="-450" w:left="-1080" w:firstLineChars="900" w:firstLine="2160"/>
              <w:rPr>
                <w:rFonts w:eastAsia="標楷體"/>
              </w:rPr>
            </w:pPr>
            <w:r w:rsidRPr="00AE0D77">
              <w:rPr>
                <w:rFonts w:eastAsia="標楷體"/>
              </w:rPr>
              <w:t>World Bank</w:t>
            </w:r>
          </w:p>
        </w:tc>
        <w:tc>
          <w:tcPr>
            <w:tcW w:w="1183" w:type="pct"/>
            <w:tcBorders>
              <w:top w:val="nil"/>
              <w:left w:val="single" w:sz="4" w:space="0" w:color="auto"/>
              <w:bottom w:val="nil"/>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300" w:firstLine="720"/>
              <w:rPr>
                <w:rFonts w:eastAsia="標楷體"/>
                <w:bCs/>
              </w:rPr>
            </w:pPr>
            <w:r w:rsidRPr="00AE0D77">
              <w:rPr>
                <w:rFonts w:eastAsia="標楷體"/>
                <w:bCs/>
              </w:rPr>
              <w:t>2.5</w:t>
            </w:r>
          </w:p>
        </w:tc>
        <w:tc>
          <w:tcPr>
            <w:tcW w:w="1181" w:type="pct"/>
            <w:tcBorders>
              <w:top w:val="nil"/>
              <w:left w:val="single" w:sz="4" w:space="0" w:color="auto"/>
              <w:bottom w:val="nil"/>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300" w:firstLine="720"/>
              <w:jc w:val="both"/>
              <w:rPr>
                <w:rFonts w:eastAsia="標楷體"/>
                <w:bCs/>
              </w:rPr>
            </w:pPr>
            <w:r w:rsidRPr="00AE0D77">
              <w:rPr>
                <w:rFonts w:eastAsia="標楷體"/>
                <w:bCs/>
              </w:rPr>
              <w:t>4.0</w:t>
            </w:r>
          </w:p>
        </w:tc>
        <w:tc>
          <w:tcPr>
            <w:tcW w:w="1180" w:type="pct"/>
            <w:tcBorders>
              <w:top w:val="nil"/>
              <w:left w:val="single" w:sz="4" w:space="0" w:color="auto"/>
              <w:bottom w:val="nil"/>
              <w:right w:val="nil"/>
            </w:tcBorders>
            <w:vAlign w:val="center"/>
          </w:tcPr>
          <w:p w:rsidR="005E507A" w:rsidRPr="00AE0D77" w:rsidRDefault="005E507A" w:rsidP="00FC4D38">
            <w:pPr>
              <w:autoSpaceDE w:val="0"/>
              <w:autoSpaceDN w:val="0"/>
              <w:adjustRightInd w:val="0"/>
              <w:snapToGrid w:val="0"/>
              <w:spacing w:line="240" w:lineRule="exact"/>
              <w:ind w:firstLineChars="300" w:firstLine="720"/>
              <w:jc w:val="both"/>
              <w:rPr>
                <w:rFonts w:eastAsia="標楷體"/>
                <w:bCs/>
              </w:rPr>
            </w:pPr>
            <w:r w:rsidRPr="00AE0D77">
              <w:rPr>
                <w:rFonts w:eastAsia="標楷體"/>
                <w:bCs/>
              </w:rPr>
              <w:t>3.8</w:t>
            </w:r>
          </w:p>
        </w:tc>
      </w:tr>
      <w:tr w:rsidR="005E507A" w:rsidRPr="00AE0D77" w:rsidTr="00FC4D38">
        <w:trPr>
          <w:trHeight w:val="302"/>
        </w:trPr>
        <w:tc>
          <w:tcPr>
            <w:tcW w:w="1456" w:type="pct"/>
            <w:tcBorders>
              <w:top w:val="nil"/>
              <w:left w:val="nil"/>
              <w:bottom w:val="single" w:sz="4" w:space="0" w:color="auto"/>
              <w:right w:val="single" w:sz="4" w:space="0" w:color="auto"/>
            </w:tcBorders>
            <w:vAlign w:val="center"/>
          </w:tcPr>
          <w:p w:rsidR="005E507A" w:rsidRPr="00AE0D77" w:rsidRDefault="005E507A" w:rsidP="00FC4D38">
            <w:pPr>
              <w:autoSpaceDE w:val="0"/>
              <w:autoSpaceDN w:val="0"/>
              <w:adjustRightInd w:val="0"/>
              <w:snapToGrid w:val="0"/>
              <w:spacing w:line="240" w:lineRule="exact"/>
              <w:ind w:leftChars="-450" w:left="-1080" w:firstLineChars="900" w:firstLine="2160"/>
              <w:rPr>
                <w:rFonts w:eastAsia="標楷體"/>
              </w:rPr>
            </w:pPr>
            <w:r w:rsidRPr="00AE0D77">
              <w:rPr>
                <w:rFonts w:eastAsia="標楷體"/>
              </w:rPr>
              <w:t>WTO</w:t>
            </w:r>
          </w:p>
        </w:tc>
        <w:tc>
          <w:tcPr>
            <w:tcW w:w="1183" w:type="pct"/>
            <w:tcBorders>
              <w:top w:val="nil"/>
              <w:left w:val="single" w:sz="4" w:space="0" w:color="auto"/>
              <w:bottom w:val="single" w:sz="4" w:space="0" w:color="auto"/>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300" w:firstLine="720"/>
              <w:rPr>
                <w:rFonts w:eastAsia="標楷體"/>
                <w:bCs/>
              </w:rPr>
            </w:pPr>
            <w:r w:rsidRPr="00AE0D77">
              <w:rPr>
                <w:rFonts w:eastAsia="標楷體"/>
                <w:bCs/>
              </w:rPr>
              <w:t>1.3</w:t>
            </w:r>
          </w:p>
        </w:tc>
        <w:tc>
          <w:tcPr>
            <w:tcW w:w="1181" w:type="pct"/>
            <w:tcBorders>
              <w:top w:val="nil"/>
              <w:left w:val="single" w:sz="4" w:space="0" w:color="auto"/>
              <w:bottom w:val="single" w:sz="4" w:space="0" w:color="auto"/>
              <w:right w:val="single" w:sz="4" w:space="0" w:color="auto"/>
            </w:tcBorders>
            <w:vAlign w:val="center"/>
          </w:tcPr>
          <w:p w:rsidR="005E507A" w:rsidRPr="00AE0D77" w:rsidRDefault="005E507A" w:rsidP="00FC4D38">
            <w:pPr>
              <w:autoSpaceDE w:val="0"/>
              <w:autoSpaceDN w:val="0"/>
              <w:adjustRightInd w:val="0"/>
              <w:snapToGrid w:val="0"/>
              <w:spacing w:line="240" w:lineRule="exact"/>
              <w:ind w:firstLineChars="300" w:firstLine="720"/>
              <w:jc w:val="both"/>
              <w:rPr>
                <w:rFonts w:eastAsia="標楷體"/>
                <w:bCs/>
              </w:rPr>
            </w:pPr>
            <w:r w:rsidRPr="00AE0D77">
              <w:rPr>
                <w:rFonts w:eastAsia="標楷體"/>
                <w:bCs/>
              </w:rPr>
              <w:t>2.4</w:t>
            </w:r>
          </w:p>
        </w:tc>
        <w:tc>
          <w:tcPr>
            <w:tcW w:w="1180" w:type="pct"/>
            <w:tcBorders>
              <w:top w:val="nil"/>
              <w:left w:val="single" w:sz="4" w:space="0" w:color="auto"/>
              <w:bottom w:val="single" w:sz="4" w:space="0" w:color="auto"/>
              <w:right w:val="nil"/>
            </w:tcBorders>
            <w:vAlign w:val="center"/>
          </w:tcPr>
          <w:p w:rsidR="005E507A" w:rsidRPr="00AE0D77" w:rsidRDefault="005E507A" w:rsidP="00FC4D38">
            <w:pPr>
              <w:autoSpaceDE w:val="0"/>
              <w:autoSpaceDN w:val="0"/>
              <w:adjustRightInd w:val="0"/>
              <w:snapToGrid w:val="0"/>
              <w:spacing w:line="240" w:lineRule="exact"/>
              <w:ind w:firstLineChars="188" w:firstLine="451"/>
              <w:rPr>
                <w:rFonts w:eastAsia="標楷體"/>
                <w:bCs/>
              </w:rPr>
            </w:pPr>
            <w:r w:rsidRPr="00AE0D77">
              <w:rPr>
                <w:rFonts w:eastAsia="標楷體"/>
                <w:bCs/>
              </w:rPr>
              <w:t>2.1~4.0</w:t>
            </w:r>
          </w:p>
        </w:tc>
      </w:tr>
    </w:tbl>
    <w:p w:rsidR="005E507A" w:rsidRPr="00AE0D77" w:rsidRDefault="005E507A" w:rsidP="005E507A">
      <w:pPr>
        <w:autoSpaceDE w:val="0"/>
        <w:autoSpaceDN w:val="0"/>
        <w:adjustRightInd w:val="0"/>
        <w:snapToGrid w:val="0"/>
        <w:spacing w:line="220" w:lineRule="exact"/>
        <w:ind w:leftChars="-93" w:left="-223" w:firstLineChars="94" w:firstLine="207"/>
        <w:jc w:val="both"/>
        <w:rPr>
          <w:rFonts w:eastAsia="標楷體"/>
          <w:bCs/>
          <w:sz w:val="22"/>
        </w:rPr>
      </w:pPr>
      <w:r w:rsidRPr="00AE0D77">
        <w:rPr>
          <w:rFonts w:eastAsia="標楷體"/>
          <w:bCs/>
          <w:sz w:val="22"/>
          <w:lang w:val="zh-TW"/>
        </w:rPr>
        <w:t>註</w:t>
      </w:r>
      <w:r w:rsidRPr="00AE0D77">
        <w:rPr>
          <w:rFonts w:eastAsia="標楷體"/>
          <w:bCs/>
          <w:sz w:val="22"/>
        </w:rPr>
        <w:t>：</w:t>
      </w:r>
      <w:r w:rsidRPr="00AE0D77">
        <w:rPr>
          <w:rFonts w:eastAsia="標楷體"/>
          <w:bCs/>
          <w:sz w:val="22"/>
        </w:rPr>
        <w:t>(f)</w:t>
      </w:r>
      <w:r w:rsidRPr="00AE0D77">
        <w:rPr>
          <w:rFonts w:eastAsia="標楷體"/>
          <w:bCs/>
          <w:sz w:val="22"/>
          <w:lang w:val="zh-TW"/>
        </w:rPr>
        <w:t>為</w:t>
      </w:r>
      <w:r w:rsidRPr="00AE0D77">
        <w:rPr>
          <w:rFonts w:eastAsia="標楷體"/>
          <w:bCs/>
          <w:sz w:val="22"/>
        </w:rPr>
        <w:t>預測</w:t>
      </w:r>
      <w:r w:rsidRPr="00AE0D77">
        <w:rPr>
          <w:rFonts w:eastAsia="標楷體"/>
          <w:bCs/>
          <w:sz w:val="22"/>
          <w:lang w:val="zh-TW"/>
        </w:rPr>
        <w:t>值</w:t>
      </w:r>
    </w:p>
    <w:p w:rsidR="005E507A" w:rsidRPr="00AE0D77" w:rsidRDefault="005E507A" w:rsidP="005E507A">
      <w:pPr>
        <w:autoSpaceDE w:val="0"/>
        <w:autoSpaceDN w:val="0"/>
        <w:adjustRightInd w:val="0"/>
        <w:snapToGrid w:val="0"/>
        <w:spacing w:line="220" w:lineRule="exact"/>
        <w:ind w:leftChars="-93" w:left="-223" w:firstLineChars="94" w:firstLine="207"/>
        <w:jc w:val="both"/>
        <w:rPr>
          <w:rFonts w:eastAsia="標楷體"/>
          <w:bCs/>
          <w:sz w:val="22"/>
        </w:rPr>
      </w:pPr>
      <w:r w:rsidRPr="00AE0D77">
        <w:rPr>
          <w:rFonts w:eastAsia="標楷體"/>
          <w:bCs/>
          <w:sz w:val="22"/>
          <w:lang w:val="zh-TW"/>
        </w:rPr>
        <w:t>資料來源</w:t>
      </w:r>
      <w:r w:rsidRPr="00AE0D77">
        <w:rPr>
          <w:rFonts w:eastAsia="標楷體"/>
          <w:bCs/>
          <w:sz w:val="22"/>
        </w:rPr>
        <w:t>：</w:t>
      </w:r>
      <w:r w:rsidRPr="00AE0D77">
        <w:rPr>
          <w:rFonts w:eastAsia="標楷體"/>
          <w:bCs/>
          <w:sz w:val="22"/>
        </w:rPr>
        <w:t xml:space="preserve">1.IMF, </w:t>
      </w:r>
      <w:r w:rsidRPr="00AE0D77">
        <w:rPr>
          <w:rFonts w:eastAsia="標楷體"/>
          <w:bCs/>
          <w:i/>
          <w:iCs/>
          <w:sz w:val="22"/>
        </w:rPr>
        <w:t>World Economic Outlook,</w:t>
      </w:r>
      <w:r w:rsidRPr="00AE0D77">
        <w:rPr>
          <w:rFonts w:eastAsia="標楷體"/>
          <w:bCs/>
          <w:iCs/>
          <w:sz w:val="22"/>
        </w:rPr>
        <w:t xml:space="preserve"> April 2017</w:t>
      </w:r>
      <w:r w:rsidRPr="00AE0D77">
        <w:rPr>
          <w:rFonts w:eastAsia="標楷體"/>
          <w:bCs/>
          <w:iCs/>
          <w:sz w:val="22"/>
        </w:rPr>
        <w:t>。</w:t>
      </w:r>
    </w:p>
    <w:p w:rsidR="005E507A" w:rsidRPr="00AE0D77" w:rsidRDefault="005E507A" w:rsidP="005E507A">
      <w:pPr>
        <w:autoSpaceDE w:val="0"/>
        <w:autoSpaceDN w:val="0"/>
        <w:adjustRightInd w:val="0"/>
        <w:snapToGrid w:val="0"/>
        <w:spacing w:line="220" w:lineRule="exact"/>
        <w:ind w:leftChars="430" w:left="1032" w:firstLineChars="27" w:firstLine="59"/>
        <w:jc w:val="both"/>
        <w:rPr>
          <w:rFonts w:eastAsia="標楷體"/>
          <w:bCs/>
          <w:sz w:val="22"/>
        </w:rPr>
      </w:pPr>
      <w:r w:rsidRPr="00AE0D77">
        <w:rPr>
          <w:rFonts w:eastAsia="標楷體"/>
          <w:bCs/>
          <w:sz w:val="22"/>
        </w:rPr>
        <w:t>2.UN,</w:t>
      </w:r>
      <w:r w:rsidRPr="00AE0D77">
        <w:rPr>
          <w:rFonts w:eastAsia="標楷體"/>
          <w:bCs/>
          <w:i/>
          <w:sz w:val="22"/>
        </w:rPr>
        <w:t xml:space="preserve"> World</w:t>
      </w:r>
      <w:r w:rsidRPr="00AE0D77">
        <w:rPr>
          <w:rFonts w:eastAsia="標楷體"/>
          <w:bCs/>
          <w:sz w:val="22"/>
        </w:rPr>
        <w:t xml:space="preserve"> </w:t>
      </w:r>
      <w:r w:rsidRPr="00AE0D77">
        <w:rPr>
          <w:rFonts w:eastAsia="標楷體"/>
          <w:bCs/>
          <w:i/>
          <w:iCs/>
          <w:sz w:val="22"/>
        </w:rPr>
        <w:t xml:space="preserve">Economic Situation and Prospects, </w:t>
      </w:r>
      <w:r w:rsidRPr="00AE0D77">
        <w:rPr>
          <w:rFonts w:eastAsia="標楷體"/>
          <w:bCs/>
          <w:iCs/>
          <w:sz w:val="22"/>
        </w:rPr>
        <w:t>January</w:t>
      </w:r>
      <w:r w:rsidRPr="00AE0D77">
        <w:rPr>
          <w:rFonts w:eastAsia="標楷體"/>
          <w:bCs/>
          <w:i/>
          <w:iCs/>
          <w:sz w:val="22"/>
        </w:rPr>
        <w:t xml:space="preserve"> </w:t>
      </w:r>
      <w:r w:rsidRPr="00AE0D77">
        <w:rPr>
          <w:rFonts w:eastAsia="標楷體"/>
          <w:bCs/>
          <w:sz w:val="22"/>
        </w:rPr>
        <w:t xml:space="preserve">2017 </w:t>
      </w:r>
      <w:r w:rsidRPr="00AE0D77">
        <w:rPr>
          <w:rFonts w:eastAsia="標楷體"/>
          <w:bCs/>
          <w:sz w:val="22"/>
        </w:rPr>
        <w:t>。</w:t>
      </w:r>
    </w:p>
    <w:p w:rsidR="005E507A" w:rsidRPr="00AE0D77" w:rsidRDefault="005E507A" w:rsidP="005E507A">
      <w:pPr>
        <w:autoSpaceDE w:val="0"/>
        <w:autoSpaceDN w:val="0"/>
        <w:adjustRightInd w:val="0"/>
        <w:snapToGrid w:val="0"/>
        <w:spacing w:line="220" w:lineRule="exact"/>
        <w:ind w:leftChars="430" w:left="1032" w:firstLineChars="27" w:firstLine="59"/>
        <w:jc w:val="both"/>
        <w:rPr>
          <w:rFonts w:eastAsia="標楷體"/>
          <w:bCs/>
          <w:sz w:val="22"/>
        </w:rPr>
      </w:pPr>
      <w:r w:rsidRPr="00AE0D77">
        <w:rPr>
          <w:rFonts w:eastAsia="標楷體"/>
          <w:bCs/>
          <w:sz w:val="22"/>
        </w:rPr>
        <w:t xml:space="preserve">3.OECD, </w:t>
      </w:r>
      <w:r w:rsidRPr="00AE0D77">
        <w:rPr>
          <w:rFonts w:eastAsia="標楷體"/>
          <w:bCs/>
          <w:i/>
          <w:iCs/>
          <w:sz w:val="22"/>
        </w:rPr>
        <w:t>Economic Outlook</w:t>
      </w:r>
      <w:r w:rsidRPr="00AE0D77">
        <w:rPr>
          <w:rFonts w:eastAsia="標楷體"/>
          <w:bCs/>
          <w:sz w:val="22"/>
        </w:rPr>
        <w:t>, June 2017</w:t>
      </w:r>
      <w:r w:rsidRPr="00AE0D77">
        <w:rPr>
          <w:rFonts w:eastAsia="標楷體"/>
          <w:bCs/>
          <w:sz w:val="22"/>
        </w:rPr>
        <w:t>。</w:t>
      </w:r>
    </w:p>
    <w:p w:rsidR="005E507A" w:rsidRPr="00AE0D77" w:rsidRDefault="005E507A" w:rsidP="005E507A">
      <w:pPr>
        <w:autoSpaceDE w:val="0"/>
        <w:autoSpaceDN w:val="0"/>
        <w:adjustRightInd w:val="0"/>
        <w:snapToGrid w:val="0"/>
        <w:spacing w:line="220" w:lineRule="exact"/>
        <w:ind w:leftChars="-93" w:left="-223" w:firstLineChars="94" w:firstLine="207"/>
        <w:jc w:val="both"/>
        <w:rPr>
          <w:rFonts w:eastAsia="標楷體"/>
          <w:sz w:val="22"/>
        </w:rPr>
      </w:pPr>
      <w:r w:rsidRPr="00AE0D77">
        <w:rPr>
          <w:rFonts w:eastAsia="標楷體"/>
          <w:sz w:val="22"/>
        </w:rPr>
        <w:t xml:space="preserve">          4.World Bank, </w:t>
      </w:r>
      <w:r w:rsidRPr="00AE0D77">
        <w:rPr>
          <w:rFonts w:eastAsia="標楷體"/>
          <w:bCs/>
          <w:i/>
          <w:iCs/>
          <w:sz w:val="22"/>
        </w:rPr>
        <w:t>Global</w:t>
      </w:r>
      <w:r w:rsidRPr="00AE0D77">
        <w:rPr>
          <w:rFonts w:eastAsia="標楷體"/>
          <w:i/>
          <w:sz w:val="22"/>
        </w:rPr>
        <w:t xml:space="preserve"> </w:t>
      </w:r>
      <w:r w:rsidRPr="00AE0D77">
        <w:rPr>
          <w:rFonts w:eastAsia="標楷體"/>
          <w:bCs/>
          <w:i/>
          <w:iCs/>
          <w:sz w:val="22"/>
        </w:rPr>
        <w:t>Economic</w:t>
      </w:r>
      <w:r w:rsidRPr="00AE0D77">
        <w:rPr>
          <w:rFonts w:eastAsia="標楷體"/>
          <w:i/>
          <w:sz w:val="22"/>
        </w:rPr>
        <w:t xml:space="preserve"> Prospects</w:t>
      </w:r>
      <w:r w:rsidRPr="00AE0D77">
        <w:rPr>
          <w:rFonts w:eastAsia="標楷體"/>
          <w:sz w:val="22"/>
        </w:rPr>
        <w:t>,</w:t>
      </w:r>
      <w:r w:rsidRPr="00AE0D77">
        <w:rPr>
          <w:rFonts w:eastAsia="標楷體"/>
        </w:rPr>
        <w:t xml:space="preserve"> </w:t>
      </w:r>
      <w:r w:rsidRPr="00AE0D77">
        <w:rPr>
          <w:rFonts w:eastAsia="標楷體"/>
          <w:sz w:val="22"/>
        </w:rPr>
        <w:t>June 2017</w:t>
      </w:r>
      <w:r w:rsidRPr="00AE0D77">
        <w:rPr>
          <w:rFonts w:eastAsia="標楷體"/>
          <w:sz w:val="22"/>
        </w:rPr>
        <w:t>。</w:t>
      </w:r>
    </w:p>
    <w:p w:rsidR="00DF623B" w:rsidRPr="00AE0D77" w:rsidRDefault="005E507A" w:rsidP="005E507A">
      <w:pPr>
        <w:autoSpaceDE w:val="0"/>
        <w:autoSpaceDN w:val="0"/>
        <w:adjustRightInd w:val="0"/>
        <w:snapToGrid w:val="0"/>
        <w:spacing w:line="220" w:lineRule="exact"/>
        <w:ind w:leftChars="430" w:left="1032" w:firstLineChars="27" w:firstLine="59"/>
        <w:jc w:val="both"/>
        <w:rPr>
          <w:rFonts w:eastAsia="標楷體"/>
          <w:b/>
          <w:sz w:val="32"/>
          <w:szCs w:val="32"/>
        </w:rPr>
      </w:pPr>
      <w:r w:rsidRPr="00AE0D77">
        <w:rPr>
          <w:rFonts w:eastAsia="標楷體"/>
          <w:sz w:val="22"/>
        </w:rPr>
        <w:t xml:space="preserve">5.WTO, </w:t>
      </w:r>
      <w:r w:rsidRPr="00AE0D77">
        <w:rPr>
          <w:rFonts w:eastAsia="標楷體"/>
          <w:i/>
          <w:sz w:val="22"/>
        </w:rPr>
        <w:t xml:space="preserve">PRESS </w:t>
      </w:r>
      <w:r w:rsidRPr="00AE0D77">
        <w:rPr>
          <w:rFonts w:eastAsia="標楷體"/>
          <w:bCs/>
          <w:i/>
          <w:iCs/>
          <w:sz w:val="22"/>
        </w:rPr>
        <w:t>RELEASE</w:t>
      </w:r>
      <w:r w:rsidRPr="00AE0D77">
        <w:rPr>
          <w:rFonts w:eastAsia="標楷體"/>
          <w:sz w:val="22"/>
        </w:rPr>
        <w:t>, April 2017</w:t>
      </w:r>
      <w:r w:rsidRPr="00AE0D77">
        <w:rPr>
          <w:rFonts w:eastAsia="標楷體"/>
          <w:sz w:val="22"/>
        </w:rPr>
        <w:t>。</w:t>
      </w:r>
    </w:p>
    <w:p w:rsidR="00E159BD" w:rsidRPr="00AE0D77" w:rsidRDefault="00E159BD" w:rsidP="00E159BD">
      <w:pPr>
        <w:adjustRightInd w:val="0"/>
        <w:snapToGrid w:val="0"/>
        <w:spacing w:line="220" w:lineRule="exact"/>
        <w:ind w:leftChars="430" w:left="1032" w:right="40" w:firstLineChars="27" w:firstLine="59"/>
        <w:rPr>
          <w:rFonts w:eastAsia="標楷體"/>
          <w:sz w:val="22"/>
          <w:szCs w:val="22"/>
        </w:rPr>
      </w:pPr>
    </w:p>
    <w:p w:rsidR="00197DAD" w:rsidRPr="00AE0D77" w:rsidRDefault="00197DAD" w:rsidP="00197DAD">
      <w:pPr>
        <w:pStyle w:val="2"/>
        <w:spacing w:after="360"/>
        <w:jc w:val="center"/>
        <w:rPr>
          <w:b w:val="0"/>
          <w:bCs w:val="0"/>
          <w:sz w:val="32"/>
          <w:szCs w:val="32"/>
        </w:rPr>
      </w:pPr>
      <w:bookmarkStart w:id="42" w:name="_Toc399516779"/>
      <w:bookmarkStart w:id="43" w:name="_Toc486347620"/>
      <w:bookmarkStart w:id="44" w:name="_Toc368324015"/>
      <w:r w:rsidRPr="00AE0D77">
        <w:rPr>
          <w:sz w:val="32"/>
        </w:rPr>
        <w:lastRenderedPageBreak/>
        <w:t>表</w:t>
      </w:r>
      <w:r w:rsidRPr="00AE0D77">
        <w:rPr>
          <w:sz w:val="32"/>
        </w:rPr>
        <w:t xml:space="preserve">3  </w:t>
      </w:r>
      <w:r w:rsidRPr="00AE0D77">
        <w:rPr>
          <w:sz w:val="32"/>
        </w:rPr>
        <w:t>國內主要經濟指標</w:t>
      </w:r>
      <w:bookmarkEnd w:id="42"/>
      <w:bookmarkEnd w:id="43"/>
    </w:p>
    <w:tbl>
      <w:tblPr>
        <w:tblStyle w:val="affff4"/>
        <w:tblW w:w="10929" w:type="dxa"/>
        <w:jc w:val="center"/>
        <w:tblLayout w:type="fixed"/>
        <w:tblLook w:val="04A0" w:firstRow="1" w:lastRow="0" w:firstColumn="1" w:lastColumn="0" w:noHBand="0" w:noVBand="1"/>
      </w:tblPr>
      <w:tblGrid>
        <w:gridCol w:w="280"/>
        <w:gridCol w:w="485"/>
        <w:gridCol w:w="939"/>
        <w:gridCol w:w="643"/>
        <w:gridCol w:w="642"/>
        <w:gridCol w:w="643"/>
        <w:gridCol w:w="643"/>
        <w:gridCol w:w="643"/>
        <w:gridCol w:w="642"/>
        <w:gridCol w:w="643"/>
        <w:gridCol w:w="643"/>
        <w:gridCol w:w="643"/>
        <w:gridCol w:w="642"/>
        <w:gridCol w:w="643"/>
        <w:gridCol w:w="643"/>
        <w:gridCol w:w="643"/>
        <w:gridCol w:w="842"/>
        <w:gridCol w:w="27"/>
      </w:tblGrid>
      <w:tr w:rsidR="006840B6" w:rsidRPr="00AE0D77" w:rsidTr="0074591B">
        <w:trPr>
          <w:jc w:val="center"/>
        </w:trPr>
        <w:tc>
          <w:tcPr>
            <w:tcW w:w="280" w:type="dxa"/>
            <w:vMerge w:val="restart"/>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Merge w:val="restart"/>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vMerge w:val="restart"/>
            <w:tcBorders>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w:t>
            </w:r>
            <w:r w:rsidRPr="00AE0D77">
              <w:rPr>
                <w:rFonts w:eastAsia="標楷體"/>
                <w:spacing w:val="-20"/>
                <w:sz w:val="22"/>
              </w:rPr>
              <w:t>年</w:t>
            </w:r>
          </w:p>
        </w:tc>
        <w:tc>
          <w:tcPr>
            <w:tcW w:w="4499" w:type="dxa"/>
            <w:gridSpan w:val="7"/>
            <w:tcBorders>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z w:val="22"/>
              </w:rPr>
            </w:pPr>
            <w:r w:rsidRPr="00AE0D77">
              <w:rPr>
                <w:rFonts w:eastAsia="標楷體"/>
                <w:spacing w:val="-20"/>
                <w:sz w:val="22"/>
              </w:rPr>
              <w:t>105</w:t>
            </w:r>
            <w:r w:rsidRPr="00AE0D77">
              <w:rPr>
                <w:rFonts w:eastAsia="標楷體"/>
                <w:spacing w:val="-20"/>
                <w:sz w:val="22"/>
              </w:rPr>
              <w:t>年</w:t>
            </w:r>
          </w:p>
        </w:tc>
        <w:tc>
          <w:tcPr>
            <w:tcW w:w="3214" w:type="dxa"/>
            <w:gridSpan w:val="5"/>
            <w:vAlign w:val="center"/>
          </w:tcPr>
          <w:p w:rsidR="00F3385A" w:rsidRPr="00AE0D77" w:rsidRDefault="00F3385A" w:rsidP="0074591B">
            <w:pPr>
              <w:adjustRightInd w:val="0"/>
              <w:snapToGrid w:val="0"/>
              <w:ind w:rightChars="-50" w:right="-120"/>
              <w:contextualSpacing/>
              <w:jc w:val="center"/>
              <w:textAlignment w:val="center"/>
              <w:rPr>
                <w:rFonts w:eastAsia="標楷體"/>
                <w:sz w:val="22"/>
              </w:rPr>
            </w:pPr>
            <w:r w:rsidRPr="00AE0D77">
              <w:rPr>
                <w:rFonts w:eastAsia="標楷體"/>
                <w:sz w:val="22"/>
              </w:rPr>
              <w:t>106</w:t>
            </w:r>
            <w:r w:rsidRPr="00AE0D77">
              <w:rPr>
                <w:rFonts w:eastAsia="標楷體"/>
                <w:sz w:val="22"/>
              </w:rPr>
              <w:t>年</w:t>
            </w:r>
          </w:p>
        </w:tc>
        <w:tc>
          <w:tcPr>
            <w:tcW w:w="869" w:type="dxa"/>
            <w:gridSpan w:val="2"/>
            <w:tcBorders>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z w:val="22"/>
              </w:rPr>
            </w:pPr>
          </w:p>
        </w:tc>
      </w:tr>
      <w:tr w:rsidR="006840B6" w:rsidRPr="00AE0D77" w:rsidTr="0074591B">
        <w:trPr>
          <w:gridAfter w:val="1"/>
          <w:wAfter w:w="27" w:type="dxa"/>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Merge/>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vMerge/>
            <w:tcBorders>
              <w:bottom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2" w:type="dxa"/>
            <w:tcBorders>
              <w:left w:val="single" w:sz="4" w:space="0" w:color="auto"/>
              <w:bottom w:val="single" w:sz="4" w:space="0" w:color="auto"/>
              <w:right w:val="single" w:sz="4" w:space="0" w:color="auto"/>
            </w:tcBorders>
            <w:vAlign w:val="center"/>
          </w:tcPr>
          <w:p w:rsidR="00F3385A" w:rsidRPr="00AE0D77" w:rsidRDefault="00F3385A" w:rsidP="0074591B">
            <w:pPr>
              <w:adjustRightInd w:val="0"/>
              <w:snapToGrid w:val="0"/>
              <w:ind w:rightChars="-50" w:right="-120"/>
              <w:contextualSpacing/>
              <w:textAlignment w:val="center"/>
              <w:rPr>
                <w:rFonts w:eastAsia="標楷體"/>
                <w:spacing w:val="-20"/>
                <w:sz w:val="22"/>
              </w:rPr>
            </w:pPr>
            <w:r w:rsidRPr="00AE0D77">
              <w:rPr>
                <w:rFonts w:eastAsia="標楷體"/>
                <w:spacing w:val="-20"/>
                <w:sz w:val="22"/>
              </w:rPr>
              <w:t>7</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w:t>
            </w:r>
            <w:r w:rsidRPr="00AE0D77">
              <w:rPr>
                <w:rFonts w:eastAsia="標楷體"/>
                <w:spacing w:val="-20"/>
                <w:sz w:val="22"/>
              </w:rPr>
              <w:t>月</w:t>
            </w:r>
          </w:p>
        </w:tc>
        <w:tc>
          <w:tcPr>
            <w:tcW w:w="642" w:type="dxa"/>
            <w:tcBorders>
              <w:left w:val="single" w:sz="4" w:space="0" w:color="auto"/>
              <w:bottom w:val="single" w:sz="4" w:space="0" w:color="auto"/>
              <w:right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12</w:t>
            </w:r>
            <w:r w:rsidRPr="00AE0D77">
              <w:rPr>
                <w:rFonts w:eastAsia="標楷體"/>
                <w:spacing w:val="-20"/>
                <w:sz w:val="22"/>
              </w:rPr>
              <w:t>月</w:t>
            </w:r>
          </w:p>
        </w:tc>
        <w:tc>
          <w:tcPr>
            <w:tcW w:w="643" w:type="dxa"/>
            <w:tcBorders>
              <w:left w:val="single" w:sz="4" w:space="0" w:color="auto"/>
              <w:bottom w:val="single" w:sz="4" w:space="0" w:color="auto"/>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全年</w:t>
            </w:r>
          </w:p>
        </w:tc>
        <w:tc>
          <w:tcPr>
            <w:tcW w:w="643" w:type="dxa"/>
            <w:tcBorders>
              <w:left w:val="single" w:sz="4" w:space="0" w:color="auto"/>
              <w:bottom w:val="single" w:sz="4" w:space="0" w:color="auto"/>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sidRPr="00AE0D77">
              <w:rPr>
                <w:rFonts w:eastAsia="標楷體"/>
                <w:spacing w:val="-20"/>
                <w:sz w:val="22"/>
              </w:rPr>
              <w:t>月</w:t>
            </w:r>
          </w:p>
        </w:tc>
        <w:tc>
          <w:tcPr>
            <w:tcW w:w="642" w:type="dxa"/>
            <w:tcBorders>
              <w:left w:val="single" w:sz="4" w:space="0" w:color="auto"/>
              <w:bottom w:val="single" w:sz="4" w:space="0" w:color="auto"/>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w:t>
            </w:r>
            <w:r w:rsidRPr="00AE0D77">
              <w:rPr>
                <w:rFonts w:eastAsia="標楷體"/>
                <w:spacing w:val="-20"/>
                <w:sz w:val="22"/>
              </w:rPr>
              <w:t>月</w:t>
            </w:r>
          </w:p>
        </w:tc>
        <w:tc>
          <w:tcPr>
            <w:tcW w:w="842" w:type="dxa"/>
            <w:tcBorders>
              <w:left w:val="single" w:sz="4" w:space="0" w:color="auto"/>
              <w:bottom w:val="single" w:sz="4" w:space="0" w:color="auto"/>
              <w:righ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累計</w:t>
            </w:r>
            <w:r w:rsidRPr="00AE0D77">
              <w:rPr>
                <w:rFonts w:eastAsia="標楷體"/>
                <w:spacing w:val="-20"/>
                <w:sz w:val="22"/>
              </w:rPr>
              <w:t>/</w:t>
            </w:r>
            <w:r w:rsidRPr="00AE0D77">
              <w:rPr>
                <w:rFonts w:eastAsia="標楷體"/>
                <w:spacing w:val="-20"/>
                <w:sz w:val="22"/>
              </w:rPr>
              <w:t>預估</w:t>
            </w:r>
          </w:p>
        </w:tc>
      </w:tr>
      <w:tr w:rsidR="006840B6" w:rsidRPr="00AE0D77" w:rsidTr="0074591B">
        <w:trPr>
          <w:gridAfter w:val="1"/>
          <w:wAfter w:w="27" w:type="dxa"/>
          <w:trHeight w:val="633"/>
          <w:jc w:val="center"/>
        </w:trPr>
        <w:tc>
          <w:tcPr>
            <w:tcW w:w="280" w:type="dxa"/>
            <w:vMerge w:val="restart"/>
            <w:tcBorders>
              <w:lef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z w:val="22"/>
              </w:rPr>
            </w:pPr>
            <w:r w:rsidRPr="00AE0D77">
              <w:rPr>
                <w:rFonts w:eastAsia="標楷體"/>
                <w:spacing w:val="-20"/>
                <w:sz w:val="22"/>
              </w:rPr>
              <w:t>經濟成長</w:t>
            </w: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經濟成長率</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0.72</w:t>
            </w:r>
          </w:p>
        </w:tc>
        <w:tc>
          <w:tcPr>
            <w:tcW w:w="642"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2</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w:t>
            </w:r>
          </w:p>
        </w:tc>
        <w:tc>
          <w:tcPr>
            <w:tcW w:w="643"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2.12</w:t>
            </w:r>
          </w:p>
        </w:tc>
        <w:tc>
          <w:tcPr>
            <w:tcW w:w="643"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2"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2.79</w:t>
            </w:r>
          </w:p>
        </w:tc>
        <w:tc>
          <w:tcPr>
            <w:tcW w:w="643"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1.48</w:t>
            </w:r>
          </w:p>
        </w:tc>
        <w:tc>
          <w:tcPr>
            <w:tcW w:w="643"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2"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2.60</w:t>
            </w:r>
          </w:p>
        </w:tc>
        <w:tc>
          <w:tcPr>
            <w:tcW w:w="643"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842" w:type="dxa"/>
            <w:tcBorders>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2.05</w:t>
            </w:r>
          </w:p>
        </w:tc>
      </w:tr>
      <w:tr w:rsidR="006840B6" w:rsidRPr="00AE0D77" w:rsidTr="0074591B">
        <w:trPr>
          <w:gridAfter w:val="1"/>
          <w:wAfter w:w="27" w:type="dxa"/>
          <w:trHeight w:val="571"/>
          <w:jc w:val="center"/>
        </w:trPr>
        <w:tc>
          <w:tcPr>
            <w:tcW w:w="280" w:type="dxa"/>
            <w:vMerge/>
            <w:tcBorders>
              <w:left w:val="nil"/>
            </w:tcBorders>
          </w:tcPr>
          <w:p w:rsidR="00F3385A" w:rsidRPr="00AE0D77" w:rsidRDefault="00F3385A" w:rsidP="0074591B">
            <w:pPr>
              <w:adjustRightInd w:val="0"/>
              <w:snapToGrid w:val="0"/>
              <w:contextualSpacing/>
              <w:textAlignment w:val="center"/>
              <w:rPr>
                <w:rFonts w:eastAsia="標楷體"/>
                <w:spacing w:val="-40"/>
                <w:sz w:val="22"/>
              </w:rPr>
            </w:pP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民間投資成長率</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2.97</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2</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6.55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3.10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1.95</w:t>
            </w:r>
          </w:p>
        </w:tc>
      </w:tr>
      <w:tr w:rsidR="006840B6" w:rsidRPr="00AE0D77" w:rsidTr="0074591B">
        <w:trPr>
          <w:gridAfter w:val="1"/>
          <w:wAfter w:w="27" w:type="dxa"/>
          <w:trHeight w:val="551"/>
          <w:jc w:val="center"/>
        </w:trPr>
        <w:tc>
          <w:tcPr>
            <w:tcW w:w="280" w:type="dxa"/>
            <w:vMerge/>
            <w:tcBorders>
              <w:left w:val="nil"/>
            </w:tcBorders>
          </w:tcPr>
          <w:p w:rsidR="00F3385A" w:rsidRPr="00AE0D77" w:rsidRDefault="00F3385A" w:rsidP="0074591B">
            <w:pPr>
              <w:adjustRightInd w:val="0"/>
              <w:snapToGrid w:val="0"/>
              <w:contextualSpacing/>
              <w:textAlignment w:val="center"/>
              <w:rPr>
                <w:rFonts w:eastAsia="標楷體"/>
                <w:spacing w:val="-40"/>
                <w:sz w:val="22"/>
              </w:rPr>
            </w:pP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民間消費成長率</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2.68</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2</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1.59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F3385A" w:rsidRPr="00AE0D77" w:rsidRDefault="00F3385A" w:rsidP="0074591B">
            <w:pPr>
              <w:adjustRightInd w:val="0"/>
              <w:snapToGrid w:val="0"/>
              <w:ind w:leftChars="-50" w:left="-120" w:rightChars="-50" w:right="-120" w:firstLineChars="100" w:firstLine="180"/>
              <w:contextualSpacing/>
              <w:textAlignment w:val="center"/>
              <w:rPr>
                <w:rFonts w:eastAsia="標楷體"/>
                <w:spacing w:val="-20"/>
                <w:sz w:val="22"/>
              </w:rPr>
            </w:pPr>
            <w:r w:rsidRPr="00AE0D77">
              <w:rPr>
                <w:rFonts w:eastAsia="標楷體"/>
                <w:spacing w:val="-20"/>
                <w:sz w:val="22"/>
              </w:rPr>
              <w:t>2.01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1.84</w:t>
            </w:r>
          </w:p>
        </w:tc>
      </w:tr>
      <w:tr w:rsidR="006840B6" w:rsidRPr="00AE0D77" w:rsidTr="0074591B">
        <w:trPr>
          <w:gridAfter w:val="1"/>
          <w:wAfter w:w="27" w:type="dxa"/>
          <w:trHeight w:val="531"/>
          <w:jc w:val="center"/>
        </w:trPr>
        <w:tc>
          <w:tcPr>
            <w:tcW w:w="280" w:type="dxa"/>
            <w:vMerge w:val="restart"/>
            <w:tcBorders>
              <w:lef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產業</w:t>
            </w: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工業生產指數</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-1.75</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-0.17</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7.89</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4.20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3.25</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8.94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6.25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1.53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2.46</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10.71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3.22</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-0.59</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0.78</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3.24</w:t>
            </w:r>
          </w:p>
        </w:tc>
      </w:tr>
      <w:tr w:rsidR="006840B6" w:rsidRPr="00AE0D77" w:rsidTr="0074591B">
        <w:trPr>
          <w:gridAfter w:val="1"/>
          <w:wAfter w:w="27" w:type="dxa"/>
          <w:trHeight w:val="556"/>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製造業生產指數</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-1.49</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0.80</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8.51</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5.65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5.17</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7.41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3.46</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14.08</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4.70</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0.79</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2.02</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4.88</w:t>
            </w:r>
          </w:p>
        </w:tc>
      </w:tr>
      <w:tr w:rsidR="006840B6" w:rsidRPr="00AE0D77" w:rsidTr="0074591B">
        <w:trPr>
          <w:gridAfter w:val="1"/>
          <w:wAfter w:w="27" w:type="dxa"/>
          <w:trHeight w:val="566"/>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批發業營業額</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3.4</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-0.8</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0.4</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6.1</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6.1</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2.4</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3.5</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4.8</w:t>
            </w:r>
          </w:p>
        </w:tc>
      </w:tr>
      <w:tr w:rsidR="006840B6" w:rsidRPr="00AE0D77" w:rsidTr="0074591B">
        <w:trPr>
          <w:gridAfter w:val="1"/>
          <w:wAfter w:w="27" w:type="dxa"/>
          <w:trHeight w:val="693"/>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零售業營業額</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2.8</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0.4</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0.4</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1.0</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-0.1</w:t>
            </w:r>
          </w:p>
        </w:tc>
      </w:tr>
      <w:tr w:rsidR="006840B6" w:rsidRPr="00AE0D77" w:rsidTr="0074591B">
        <w:trPr>
          <w:gridAfter w:val="1"/>
          <w:wAfter w:w="27" w:type="dxa"/>
          <w:trHeight w:val="693"/>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餐飲業營業額</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3.8</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6.9</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6.4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14.8</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5.5</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2.7</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3.3</w:t>
            </w:r>
          </w:p>
        </w:tc>
      </w:tr>
      <w:tr w:rsidR="006840B6" w:rsidRPr="00AE0D77" w:rsidTr="0074591B">
        <w:trPr>
          <w:gridAfter w:val="1"/>
          <w:wAfter w:w="27" w:type="dxa"/>
          <w:trHeight w:val="425"/>
          <w:jc w:val="center"/>
        </w:trPr>
        <w:tc>
          <w:tcPr>
            <w:tcW w:w="280" w:type="dxa"/>
            <w:vMerge w:val="restart"/>
            <w:tcBorders>
              <w:lef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對外貿易</w:t>
            </w:r>
          </w:p>
        </w:tc>
        <w:tc>
          <w:tcPr>
            <w:tcW w:w="1424" w:type="dxa"/>
            <w:gridSpan w:val="2"/>
            <w:tcBorders>
              <w:bottom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出口</w:t>
            </w: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60" w:left="-144" w:rightChars="-50" w:right="-120"/>
              <w:contextualSpacing/>
              <w:jc w:val="center"/>
              <w:textAlignment w:val="center"/>
              <w:rPr>
                <w:rFonts w:eastAsia="標楷體"/>
                <w:spacing w:val="-20"/>
                <w:sz w:val="22"/>
              </w:rPr>
            </w:pPr>
            <w:r w:rsidRPr="00AE0D77">
              <w:rPr>
                <w:rFonts w:eastAsia="標楷體"/>
                <w:spacing w:val="-20"/>
                <w:sz w:val="22"/>
              </w:rPr>
              <w:t>2,853.4</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240.9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246.3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225.5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267.4</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253.3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257.0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2,803.2</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237.4</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226.5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257.0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243.2</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255.2</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1,219.3</w:t>
            </w:r>
          </w:p>
        </w:tc>
      </w:tr>
      <w:tr w:rsidR="006840B6" w:rsidRPr="00AE0D77" w:rsidTr="0074591B">
        <w:trPr>
          <w:gridAfter w:val="1"/>
          <w:wAfter w:w="27" w:type="dxa"/>
          <w:trHeight w:val="402"/>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bottom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-10.9</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1.1</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9.3</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12.1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7.0</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13.1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12.5</w:t>
            </w:r>
          </w:p>
        </w:tc>
      </w:tr>
      <w:tr w:rsidR="006840B6" w:rsidRPr="00AE0D77" w:rsidTr="0074591B">
        <w:trPr>
          <w:gridAfter w:val="1"/>
          <w:wAfter w:w="27" w:type="dxa"/>
          <w:trHeight w:val="423"/>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進口</w:t>
            </w: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60" w:left="-144" w:rightChars="-50" w:right="-120"/>
              <w:contextualSpacing/>
              <w:jc w:val="center"/>
              <w:textAlignment w:val="center"/>
              <w:rPr>
                <w:rFonts w:eastAsia="標楷體"/>
                <w:spacing w:val="-20"/>
                <w:sz w:val="22"/>
              </w:rPr>
            </w:pPr>
            <w:r w:rsidRPr="00AE0D77">
              <w:rPr>
                <w:rFonts w:eastAsia="標楷體"/>
                <w:spacing w:val="-20"/>
                <w:sz w:val="22"/>
              </w:rPr>
              <w:t>2,372.2</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204.2</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206.4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181.8</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223.1</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210.2</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208.4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2,305.7</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202.5</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193.0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217.5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215.3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220.7</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1,049.0</w:t>
            </w:r>
          </w:p>
        </w:tc>
      </w:tr>
      <w:tr w:rsidR="006840B6" w:rsidRPr="00AE0D77" w:rsidTr="0074591B">
        <w:trPr>
          <w:gridAfter w:val="1"/>
          <w:wAfter w:w="27" w:type="dxa"/>
          <w:trHeight w:val="415"/>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bottom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-15.8</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-0.6</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0.7</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19.2</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2.8</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13.2</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-2.8</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8.6</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10.2</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19.4</w:t>
            </w:r>
          </w:p>
        </w:tc>
      </w:tr>
      <w:tr w:rsidR="006840B6" w:rsidRPr="00AE0D77" w:rsidTr="0074591B">
        <w:trPr>
          <w:gridAfter w:val="1"/>
          <w:wAfter w:w="27" w:type="dxa"/>
          <w:trHeight w:val="550"/>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外銷訂單</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62" w:left="-149" w:rightChars="-50" w:right="-120"/>
              <w:contextualSpacing/>
              <w:jc w:val="center"/>
              <w:textAlignment w:val="center"/>
              <w:rPr>
                <w:rFonts w:eastAsia="標楷體"/>
                <w:spacing w:val="-20"/>
                <w:sz w:val="22"/>
              </w:rPr>
            </w:pPr>
            <w:r w:rsidRPr="00AE0D77">
              <w:rPr>
                <w:rFonts w:eastAsia="標楷體"/>
                <w:spacing w:val="-20"/>
                <w:sz w:val="22"/>
              </w:rPr>
              <w:t>4,518.1</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350.3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379.3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429.6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426.8</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436.2</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412.4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4,445.4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359.7</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337.5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411.2</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356.1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368.1</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1,832.7</w:t>
            </w:r>
          </w:p>
        </w:tc>
      </w:tr>
      <w:tr w:rsidR="006840B6" w:rsidRPr="00AE0D77" w:rsidTr="0074591B">
        <w:trPr>
          <w:gridAfter w:val="1"/>
          <w:wAfter w:w="27" w:type="dxa"/>
          <w:trHeight w:val="417"/>
          <w:jc w:val="center"/>
        </w:trPr>
        <w:tc>
          <w:tcPr>
            <w:tcW w:w="280" w:type="dxa"/>
            <w:vMerge/>
            <w:tcBorders>
              <w:left w:val="nil"/>
            </w:tcBorders>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-4.4</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-3.4</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8.3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0.3</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7.0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5.2</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12.3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9.1</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10.8</w:t>
            </w:r>
          </w:p>
        </w:tc>
      </w:tr>
      <w:tr w:rsidR="006840B6" w:rsidRPr="00AE0D77" w:rsidTr="0074591B">
        <w:trPr>
          <w:gridAfter w:val="1"/>
          <w:wAfter w:w="27" w:type="dxa"/>
          <w:trHeight w:val="618"/>
          <w:jc w:val="center"/>
        </w:trPr>
        <w:tc>
          <w:tcPr>
            <w:tcW w:w="280" w:type="dxa"/>
            <w:vMerge w:val="restart"/>
            <w:tcBorders>
              <w:lef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物價</w:t>
            </w: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消費者物價指數</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-0.31</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1.23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0.57</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0.33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1.70</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1.97</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1.69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2.24</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-0.07</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0.17</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0.10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0.59</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0.60</w:t>
            </w:r>
          </w:p>
        </w:tc>
      </w:tr>
      <w:tr w:rsidR="006840B6" w:rsidRPr="00AE0D77" w:rsidTr="0074591B">
        <w:trPr>
          <w:gridAfter w:val="1"/>
          <w:wAfter w:w="27" w:type="dxa"/>
          <w:trHeight w:val="541"/>
          <w:jc w:val="center"/>
        </w:trPr>
        <w:tc>
          <w:tcPr>
            <w:tcW w:w="280" w:type="dxa"/>
            <w:vMerge/>
            <w:tcBorders>
              <w:lef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躉售物價指數</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-8.84</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-2.48</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-3.97</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-3.78</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-1.82</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 xml:space="preserve"> -0.39</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1.79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2.75</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1.36</w:t>
            </w:r>
          </w:p>
        </w:tc>
      </w:tr>
      <w:tr w:rsidR="006840B6" w:rsidRPr="00AE0D77" w:rsidTr="0074591B">
        <w:trPr>
          <w:gridAfter w:val="1"/>
          <w:wAfter w:w="27" w:type="dxa"/>
          <w:trHeight w:val="712"/>
          <w:jc w:val="center"/>
        </w:trPr>
        <w:tc>
          <w:tcPr>
            <w:tcW w:w="280" w:type="dxa"/>
            <w:tcBorders>
              <w:lef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金融</w:t>
            </w: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貨幣供給額</w:t>
            </w:r>
            <w:r w:rsidRPr="00AE0D77">
              <w:rPr>
                <w:rFonts w:eastAsia="標楷體"/>
                <w:spacing w:val="-20"/>
                <w:sz w:val="22"/>
              </w:rPr>
              <w:t>M2</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6.34</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4.70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4.51</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4.05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3.98</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3.96</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4.11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4.51</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3.72</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3.64</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4.07</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3.72</w:t>
            </w:r>
          </w:p>
        </w:tc>
      </w:tr>
      <w:tr w:rsidR="006840B6" w:rsidRPr="00AE0D77" w:rsidTr="0074591B">
        <w:trPr>
          <w:gridAfter w:val="1"/>
          <w:wAfter w:w="27" w:type="dxa"/>
          <w:trHeight w:val="531"/>
          <w:jc w:val="center"/>
        </w:trPr>
        <w:tc>
          <w:tcPr>
            <w:tcW w:w="280" w:type="dxa"/>
            <w:vMerge w:val="restart"/>
            <w:tcBorders>
              <w:lef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就業</w:t>
            </w: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就業人數</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萬人</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1,119.8</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1,127.5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1,129.0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1,127.6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1,129.1</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1,130.7</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1,131.5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1,126.7</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1,132.0</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1,130.7</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1,131.3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1132.5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1,133.1</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1,131.9</w:t>
            </w:r>
          </w:p>
        </w:tc>
      </w:tr>
      <w:tr w:rsidR="006840B6" w:rsidRPr="00AE0D77" w:rsidTr="0074591B">
        <w:trPr>
          <w:gridAfter w:val="1"/>
          <w:wAfter w:w="27" w:type="dxa"/>
          <w:trHeight w:val="542"/>
          <w:jc w:val="center"/>
        </w:trPr>
        <w:tc>
          <w:tcPr>
            <w:tcW w:w="280" w:type="dxa"/>
            <w:vMerge/>
            <w:tcBorders>
              <w:left w:val="nil"/>
            </w:tcBorders>
          </w:tcPr>
          <w:p w:rsidR="00F3385A" w:rsidRPr="00AE0D77" w:rsidRDefault="00F3385A" w:rsidP="0074591B">
            <w:pPr>
              <w:adjustRightInd w:val="0"/>
              <w:snapToGrid w:val="0"/>
              <w:contextualSpacing/>
              <w:textAlignment w:val="center"/>
              <w:rPr>
                <w:rFonts w:eastAsia="標楷體"/>
                <w:spacing w:val="-40"/>
                <w:sz w:val="22"/>
              </w:rPr>
            </w:pP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失業人數</w:t>
            </w:r>
          </w:p>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萬人</w:t>
            </w:r>
            <w:r w:rsidRPr="00AE0D77">
              <w:rPr>
                <w:rFonts w:eastAsia="標楷體"/>
                <w:spacing w:val="-20"/>
                <w:sz w:val="22"/>
              </w:rPr>
              <w:t>)</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44.0</w:t>
            </w:r>
          </w:p>
        </w:tc>
        <w:tc>
          <w:tcPr>
            <w:tcW w:w="642"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47.2</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48.0</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46.9</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46.4</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45.5</w:t>
            </w:r>
          </w:p>
        </w:tc>
        <w:tc>
          <w:tcPr>
            <w:tcW w:w="643" w:type="dxa"/>
            <w:tcBorders>
              <w:top w:val="nil"/>
              <w:left w:val="nil"/>
              <w:bottom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44.6</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46.0</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44.5</w:t>
            </w:r>
          </w:p>
        </w:tc>
        <w:tc>
          <w:tcPr>
            <w:tcW w:w="6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45.3</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44.5</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43.2</w:t>
            </w:r>
          </w:p>
        </w:tc>
        <w:tc>
          <w:tcPr>
            <w:tcW w:w="643"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43.1</w:t>
            </w:r>
          </w:p>
        </w:tc>
        <w:tc>
          <w:tcPr>
            <w:tcW w:w="842" w:type="dxa"/>
            <w:tcBorders>
              <w:top w:val="nil"/>
              <w:left w:val="nil"/>
              <w:bottom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44.1</w:t>
            </w:r>
          </w:p>
        </w:tc>
      </w:tr>
      <w:tr w:rsidR="006840B6" w:rsidRPr="00AE0D77" w:rsidTr="0074591B">
        <w:trPr>
          <w:gridAfter w:val="1"/>
          <w:wAfter w:w="27" w:type="dxa"/>
          <w:trHeight w:val="417"/>
          <w:jc w:val="center"/>
        </w:trPr>
        <w:tc>
          <w:tcPr>
            <w:tcW w:w="280" w:type="dxa"/>
            <w:vMerge/>
            <w:tcBorders>
              <w:left w:val="nil"/>
            </w:tcBorders>
          </w:tcPr>
          <w:p w:rsidR="00F3385A" w:rsidRPr="00AE0D77" w:rsidRDefault="00F3385A" w:rsidP="0074591B">
            <w:pPr>
              <w:adjustRightInd w:val="0"/>
              <w:snapToGrid w:val="0"/>
              <w:contextualSpacing/>
              <w:textAlignment w:val="center"/>
              <w:rPr>
                <w:rFonts w:eastAsia="標楷體"/>
                <w:spacing w:val="-40"/>
                <w:sz w:val="22"/>
              </w:rPr>
            </w:pPr>
          </w:p>
        </w:tc>
        <w:tc>
          <w:tcPr>
            <w:tcW w:w="1424" w:type="dxa"/>
            <w:gridSpan w:val="2"/>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失業率</w:t>
            </w:r>
            <w:r w:rsidRPr="00AE0D77">
              <w:rPr>
                <w:rFonts w:eastAsia="標楷體"/>
                <w:spacing w:val="-20"/>
                <w:sz w:val="22"/>
              </w:rPr>
              <w:t>(%)</w:t>
            </w:r>
          </w:p>
        </w:tc>
        <w:tc>
          <w:tcPr>
            <w:tcW w:w="643" w:type="dxa"/>
            <w:tcBorders>
              <w:top w:val="nil"/>
              <w:left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642" w:type="dxa"/>
            <w:tcBorders>
              <w:top w:val="nil"/>
              <w:left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4.02</w:t>
            </w:r>
          </w:p>
        </w:tc>
        <w:tc>
          <w:tcPr>
            <w:tcW w:w="643" w:type="dxa"/>
            <w:tcBorders>
              <w:top w:val="nil"/>
              <w:left w:val="nil"/>
              <w:right w:val="nil"/>
            </w:tcBorders>
            <w:vAlign w:val="center"/>
          </w:tcPr>
          <w:p w:rsidR="00F3385A" w:rsidRPr="00AE0D77" w:rsidRDefault="00F3385A" w:rsidP="0074591B">
            <w:pPr>
              <w:adjustRightInd w:val="0"/>
              <w:snapToGrid w:val="0"/>
              <w:ind w:leftChars="-50" w:left="-120" w:rightChars="-50" w:right="-120" w:firstLineChars="61" w:firstLine="110"/>
              <w:contextualSpacing/>
              <w:jc w:val="center"/>
              <w:textAlignment w:val="center"/>
              <w:rPr>
                <w:rFonts w:eastAsia="標楷體"/>
                <w:spacing w:val="-20"/>
                <w:sz w:val="22"/>
              </w:rPr>
            </w:pPr>
            <w:r w:rsidRPr="00AE0D77">
              <w:rPr>
                <w:rFonts w:eastAsia="標楷體"/>
                <w:spacing w:val="-20"/>
                <w:sz w:val="22"/>
              </w:rPr>
              <w:t>4.08</w:t>
            </w:r>
          </w:p>
        </w:tc>
        <w:tc>
          <w:tcPr>
            <w:tcW w:w="643" w:type="dxa"/>
            <w:tcBorders>
              <w:top w:val="nil"/>
              <w:left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3.99</w:t>
            </w:r>
          </w:p>
        </w:tc>
        <w:tc>
          <w:tcPr>
            <w:tcW w:w="643" w:type="dxa"/>
            <w:tcBorders>
              <w:top w:val="nil"/>
              <w:left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3.95</w:t>
            </w:r>
          </w:p>
        </w:tc>
        <w:tc>
          <w:tcPr>
            <w:tcW w:w="642" w:type="dxa"/>
            <w:tcBorders>
              <w:top w:val="nil"/>
              <w:left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3.87</w:t>
            </w:r>
          </w:p>
        </w:tc>
        <w:tc>
          <w:tcPr>
            <w:tcW w:w="643" w:type="dxa"/>
            <w:tcBorders>
              <w:top w:val="nil"/>
              <w:left w:val="nil"/>
              <w:right w:val="nil"/>
            </w:tcBorders>
            <w:vAlign w:val="center"/>
          </w:tcPr>
          <w:p w:rsidR="00F3385A" w:rsidRPr="00AE0D77" w:rsidRDefault="00F3385A" w:rsidP="0074591B">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3.79</w:t>
            </w:r>
          </w:p>
        </w:tc>
        <w:tc>
          <w:tcPr>
            <w:tcW w:w="643" w:type="dxa"/>
            <w:tcBorders>
              <w:top w:val="nil"/>
              <w:left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3.92</w:t>
            </w:r>
          </w:p>
        </w:tc>
        <w:tc>
          <w:tcPr>
            <w:tcW w:w="643" w:type="dxa"/>
            <w:tcBorders>
              <w:top w:val="nil"/>
              <w:left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642" w:type="dxa"/>
            <w:tcBorders>
              <w:top w:val="nil"/>
              <w:left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3.85</w:t>
            </w:r>
          </w:p>
        </w:tc>
        <w:tc>
          <w:tcPr>
            <w:tcW w:w="643" w:type="dxa"/>
            <w:tcBorders>
              <w:top w:val="nil"/>
              <w:left w:val="nil"/>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643" w:type="dxa"/>
            <w:tcBorders>
              <w:top w:val="nil"/>
              <w:left w:val="nil"/>
              <w:bottom w:val="single" w:sz="4" w:space="0" w:color="auto"/>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3.67</w:t>
            </w:r>
          </w:p>
        </w:tc>
        <w:tc>
          <w:tcPr>
            <w:tcW w:w="643" w:type="dxa"/>
            <w:tcBorders>
              <w:top w:val="nil"/>
              <w:left w:val="nil"/>
              <w:bottom w:val="single" w:sz="4" w:space="0" w:color="auto"/>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3.66</w:t>
            </w:r>
          </w:p>
        </w:tc>
        <w:tc>
          <w:tcPr>
            <w:tcW w:w="842" w:type="dxa"/>
            <w:tcBorders>
              <w:top w:val="nil"/>
              <w:left w:val="nil"/>
              <w:bottom w:val="single" w:sz="4" w:space="0" w:color="auto"/>
              <w:right w:val="nil"/>
            </w:tcBorders>
            <w:vAlign w:val="center"/>
          </w:tcPr>
          <w:p w:rsidR="00F3385A" w:rsidRPr="00AE0D77" w:rsidRDefault="00F3385A" w:rsidP="0074591B">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3.75</w:t>
            </w:r>
          </w:p>
        </w:tc>
      </w:tr>
    </w:tbl>
    <w:p w:rsidR="003F3337" w:rsidRPr="00AE0D77" w:rsidRDefault="00197DAD" w:rsidP="00A801E9">
      <w:pPr>
        <w:widowControl/>
        <w:ind w:leftChars="-413" w:left="1" w:rightChars="-316" w:right="-758" w:hangingChars="451" w:hanging="992"/>
        <w:rPr>
          <w:rFonts w:eastAsia="標楷體"/>
          <w:sz w:val="40"/>
        </w:rPr>
      </w:pPr>
      <w:r w:rsidRPr="00AE0D77">
        <w:rPr>
          <w:rFonts w:eastAsia="標楷體"/>
          <w:sz w:val="22"/>
          <w:szCs w:val="22"/>
        </w:rPr>
        <w:t>資料來源：行政院主計總處、中央銀行、經濟部。</w:t>
      </w:r>
      <w:bookmarkStart w:id="45" w:name="_Toc279048474"/>
      <w:bookmarkStart w:id="46" w:name="_Toc337122129"/>
      <w:bookmarkStart w:id="47" w:name="_Toc349916581"/>
      <w:bookmarkEnd w:id="44"/>
      <w:r w:rsidR="003E39BB" w:rsidRPr="00AE0D77">
        <w:rPr>
          <w:rFonts w:eastAsia="標楷體"/>
          <w:sz w:val="40"/>
        </w:rPr>
        <w:br w:type="page"/>
      </w:r>
      <w:bookmarkStart w:id="48" w:name="_Toc402171702"/>
    </w:p>
    <w:p w:rsidR="003F3337" w:rsidRPr="00AE0D77" w:rsidRDefault="003F3337" w:rsidP="003F3337">
      <w:pPr>
        <w:pStyle w:val="2"/>
        <w:spacing w:after="360"/>
        <w:jc w:val="center"/>
        <w:rPr>
          <w:b w:val="0"/>
          <w:sz w:val="28"/>
        </w:rPr>
      </w:pPr>
      <w:bookmarkStart w:id="49" w:name="_Toc415126205"/>
      <w:bookmarkStart w:id="50" w:name="_Toc486347621"/>
      <w:r w:rsidRPr="00AE0D77">
        <w:rPr>
          <w:sz w:val="32"/>
        </w:rPr>
        <w:lastRenderedPageBreak/>
        <w:t>表</w:t>
      </w:r>
      <w:r w:rsidRPr="00AE0D77">
        <w:rPr>
          <w:sz w:val="32"/>
        </w:rPr>
        <w:t xml:space="preserve">4  </w:t>
      </w:r>
      <w:r w:rsidRPr="00AE0D77">
        <w:rPr>
          <w:sz w:val="32"/>
        </w:rPr>
        <w:t>中國大陸主要經濟指標</w:t>
      </w:r>
      <w:bookmarkEnd w:id="49"/>
      <w:bookmarkEnd w:id="50"/>
    </w:p>
    <w:tbl>
      <w:tblPr>
        <w:tblW w:w="5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8"/>
        <w:gridCol w:w="678"/>
        <w:gridCol w:w="1190"/>
        <w:gridCol w:w="860"/>
        <w:gridCol w:w="903"/>
        <w:gridCol w:w="903"/>
        <w:gridCol w:w="903"/>
        <w:gridCol w:w="903"/>
        <w:gridCol w:w="846"/>
        <w:gridCol w:w="854"/>
        <w:gridCol w:w="846"/>
        <w:gridCol w:w="987"/>
      </w:tblGrid>
      <w:tr w:rsidR="002D0824" w:rsidRPr="00AE0D77" w:rsidTr="002D0824">
        <w:trPr>
          <w:cantSplit/>
          <w:trHeight w:val="645"/>
          <w:jc w:val="center"/>
        </w:trPr>
        <w:tc>
          <w:tcPr>
            <w:tcW w:w="1091" w:type="pct"/>
            <w:gridSpan w:val="3"/>
            <w:vMerge w:val="restart"/>
            <w:tcBorders>
              <w:left w:val="nil"/>
            </w:tcBorders>
            <w:vAlign w:val="center"/>
          </w:tcPr>
          <w:p w:rsidR="002D0824" w:rsidRPr="00AE0D77" w:rsidRDefault="002D0824" w:rsidP="00FC4D38">
            <w:pPr>
              <w:widowControl/>
              <w:snapToGrid w:val="0"/>
              <w:spacing w:before="120" w:line="300" w:lineRule="auto"/>
              <w:jc w:val="center"/>
              <w:rPr>
                <w:rFonts w:eastAsia="標楷體"/>
                <w:kern w:val="0"/>
              </w:rPr>
            </w:pPr>
          </w:p>
        </w:tc>
        <w:tc>
          <w:tcPr>
            <w:tcW w:w="420" w:type="pct"/>
            <w:vMerge w:val="restart"/>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2012</w:t>
            </w:r>
            <w:r w:rsidRPr="00AE0D77">
              <w:rPr>
                <w:rFonts w:eastAsia="標楷體"/>
              </w:rPr>
              <w:t>年</w:t>
            </w:r>
          </w:p>
        </w:tc>
        <w:tc>
          <w:tcPr>
            <w:tcW w:w="441" w:type="pct"/>
            <w:vMerge w:val="restart"/>
            <w:tcBorders>
              <w:right w:val="nil"/>
            </w:tcBorders>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2013</w:t>
            </w:r>
            <w:r w:rsidRPr="00AE0D77">
              <w:rPr>
                <w:rFonts w:eastAsia="標楷體"/>
              </w:rPr>
              <w:t>年</w:t>
            </w:r>
          </w:p>
        </w:tc>
        <w:tc>
          <w:tcPr>
            <w:tcW w:w="441" w:type="pct"/>
            <w:vMerge w:val="restart"/>
            <w:tcBorders>
              <w:right w:val="nil"/>
            </w:tcBorders>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2014</w:t>
            </w:r>
            <w:r w:rsidRPr="00AE0D77">
              <w:rPr>
                <w:rFonts w:eastAsia="標楷體"/>
              </w:rPr>
              <w:t>年</w:t>
            </w:r>
          </w:p>
        </w:tc>
        <w:tc>
          <w:tcPr>
            <w:tcW w:w="441" w:type="pct"/>
            <w:vMerge w:val="restart"/>
            <w:tcBorders>
              <w:right w:val="nil"/>
            </w:tcBorders>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2015</w:t>
            </w:r>
            <w:r w:rsidRPr="00AE0D77">
              <w:rPr>
                <w:rFonts w:eastAsia="標楷體"/>
              </w:rPr>
              <w:t>年</w:t>
            </w:r>
          </w:p>
        </w:tc>
        <w:tc>
          <w:tcPr>
            <w:tcW w:w="441" w:type="pct"/>
            <w:vMerge w:val="restart"/>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2016</w:t>
            </w:r>
            <w:r w:rsidRPr="00AE0D77">
              <w:rPr>
                <w:rFonts w:eastAsia="標楷體"/>
              </w:rPr>
              <w:t>年</w:t>
            </w:r>
          </w:p>
        </w:tc>
        <w:tc>
          <w:tcPr>
            <w:tcW w:w="1726" w:type="pct"/>
            <w:gridSpan w:val="4"/>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2017</w:t>
            </w:r>
            <w:r w:rsidRPr="00AE0D77">
              <w:rPr>
                <w:rFonts w:eastAsia="標楷體"/>
              </w:rPr>
              <w:t>年</w:t>
            </w:r>
          </w:p>
        </w:tc>
      </w:tr>
      <w:tr w:rsidR="002D0824" w:rsidRPr="00AE0D77" w:rsidTr="002D0824">
        <w:trPr>
          <w:cantSplit/>
          <w:trHeight w:val="644"/>
          <w:jc w:val="center"/>
        </w:trPr>
        <w:tc>
          <w:tcPr>
            <w:tcW w:w="1091" w:type="pct"/>
            <w:gridSpan w:val="3"/>
            <w:vMerge/>
            <w:tcBorders>
              <w:left w:val="nil"/>
            </w:tcBorders>
            <w:vAlign w:val="center"/>
          </w:tcPr>
          <w:p w:rsidR="002D0824" w:rsidRPr="00AE0D77" w:rsidRDefault="002D0824" w:rsidP="00FC4D38">
            <w:pPr>
              <w:widowControl/>
              <w:snapToGrid w:val="0"/>
              <w:spacing w:before="120" w:line="300" w:lineRule="auto"/>
              <w:jc w:val="center"/>
              <w:rPr>
                <w:rFonts w:eastAsia="標楷體"/>
                <w:kern w:val="0"/>
              </w:rPr>
            </w:pPr>
          </w:p>
        </w:tc>
        <w:tc>
          <w:tcPr>
            <w:tcW w:w="420" w:type="pct"/>
            <w:vMerge/>
            <w:vAlign w:val="center"/>
          </w:tcPr>
          <w:p w:rsidR="002D0824" w:rsidRPr="00AE0D77" w:rsidRDefault="002D0824" w:rsidP="00FC4D38">
            <w:pPr>
              <w:snapToGrid w:val="0"/>
              <w:spacing w:before="120" w:line="240" w:lineRule="exact"/>
              <w:jc w:val="center"/>
              <w:rPr>
                <w:rFonts w:eastAsia="標楷體"/>
              </w:rPr>
            </w:pPr>
          </w:p>
        </w:tc>
        <w:tc>
          <w:tcPr>
            <w:tcW w:w="441" w:type="pct"/>
            <w:vMerge/>
            <w:tcBorders>
              <w:right w:val="nil"/>
            </w:tcBorders>
            <w:vAlign w:val="center"/>
          </w:tcPr>
          <w:p w:rsidR="002D0824" w:rsidRPr="00AE0D77" w:rsidRDefault="002D0824" w:rsidP="00FC4D38">
            <w:pPr>
              <w:snapToGrid w:val="0"/>
              <w:spacing w:before="120" w:line="240" w:lineRule="exact"/>
              <w:jc w:val="center"/>
              <w:rPr>
                <w:rFonts w:eastAsia="標楷體"/>
              </w:rPr>
            </w:pPr>
          </w:p>
        </w:tc>
        <w:tc>
          <w:tcPr>
            <w:tcW w:w="441" w:type="pct"/>
            <w:vMerge/>
            <w:tcBorders>
              <w:right w:val="nil"/>
            </w:tcBorders>
            <w:vAlign w:val="center"/>
          </w:tcPr>
          <w:p w:rsidR="002D0824" w:rsidRPr="00AE0D77" w:rsidRDefault="002D0824" w:rsidP="00FC4D38">
            <w:pPr>
              <w:snapToGrid w:val="0"/>
              <w:spacing w:before="120" w:line="240" w:lineRule="exact"/>
              <w:jc w:val="center"/>
              <w:rPr>
                <w:rFonts w:eastAsia="標楷體"/>
              </w:rPr>
            </w:pPr>
          </w:p>
        </w:tc>
        <w:tc>
          <w:tcPr>
            <w:tcW w:w="441" w:type="pct"/>
            <w:vMerge/>
            <w:tcBorders>
              <w:right w:val="nil"/>
            </w:tcBorders>
            <w:vAlign w:val="center"/>
          </w:tcPr>
          <w:p w:rsidR="002D0824" w:rsidRPr="00AE0D77" w:rsidRDefault="002D0824" w:rsidP="00FC4D38">
            <w:pPr>
              <w:snapToGrid w:val="0"/>
              <w:spacing w:before="120" w:line="240" w:lineRule="exact"/>
              <w:jc w:val="center"/>
              <w:rPr>
                <w:rFonts w:eastAsia="標楷體"/>
              </w:rPr>
            </w:pPr>
          </w:p>
        </w:tc>
        <w:tc>
          <w:tcPr>
            <w:tcW w:w="441" w:type="pct"/>
            <w:vMerge/>
            <w:vAlign w:val="center"/>
          </w:tcPr>
          <w:p w:rsidR="002D0824" w:rsidRPr="00AE0D77" w:rsidRDefault="002D0824" w:rsidP="00FC4D38">
            <w:pPr>
              <w:snapToGrid w:val="0"/>
              <w:spacing w:before="120" w:line="240" w:lineRule="exact"/>
              <w:jc w:val="center"/>
              <w:rPr>
                <w:rFonts w:eastAsia="標楷體"/>
              </w:rPr>
            </w:pPr>
          </w:p>
        </w:tc>
        <w:tc>
          <w:tcPr>
            <w:tcW w:w="413" w:type="pct"/>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3</w:t>
            </w:r>
            <w:r w:rsidRPr="00AE0D77">
              <w:rPr>
                <w:rFonts w:eastAsia="標楷體"/>
              </w:rPr>
              <w:t>月</w:t>
            </w:r>
          </w:p>
        </w:tc>
        <w:tc>
          <w:tcPr>
            <w:tcW w:w="417" w:type="pct"/>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4</w:t>
            </w:r>
            <w:r w:rsidRPr="00AE0D77">
              <w:rPr>
                <w:rFonts w:eastAsia="標楷體"/>
              </w:rPr>
              <w:t>月</w:t>
            </w:r>
          </w:p>
        </w:tc>
        <w:tc>
          <w:tcPr>
            <w:tcW w:w="413" w:type="pct"/>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5</w:t>
            </w:r>
            <w:r w:rsidRPr="00AE0D77">
              <w:rPr>
                <w:rFonts w:eastAsia="標楷體"/>
              </w:rPr>
              <w:t>月</w:t>
            </w:r>
          </w:p>
        </w:tc>
        <w:tc>
          <w:tcPr>
            <w:tcW w:w="483" w:type="pct"/>
            <w:vAlign w:val="center"/>
          </w:tcPr>
          <w:p w:rsidR="002D0824" w:rsidRPr="00AE0D77" w:rsidRDefault="002D0824" w:rsidP="00FC4D38">
            <w:pPr>
              <w:snapToGrid w:val="0"/>
              <w:spacing w:before="120" w:line="240" w:lineRule="exact"/>
              <w:jc w:val="center"/>
              <w:rPr>
                <w:rFonts w:eastAsia="標楷體"/>
              </w:rPr>
            </w:pPr>
            <w:r w:rsidRPr="00AE0D77">
              <w:rPr>
                <w:rFonts w:eastAsia="標楷體"/>
              </w:rPr>
              <w:t>1~5</w:t>
            </w:r>
            <w:r w:rsidRPr="00AE0D77">
              <w:rPr>
                <w:rFonts w:eastAsia="標楷體"/>
              </w:rPr>
              <w:t>月</w:t>
            </w:r>
          </w:p>
        </w:tc>
      </w:tr>
      <w:tr w:rsidR="002D0824" w:rsidRPr="00AE0D77" w:rsidTr="002D0824">
        <w:trPr>
          <w:cantSplit/>
          <w:trHeight w:hRule="exact" w:val="799"/>
          <w:jc w:val="center"/>
        </w:trPr>
        <w:tc>
          <w:tcPr>
            <w:tcW w:w="510" w:type="pct"/>
            <w:gridSpan w:val="2"/>
            <w:vMerge w:val="restart"/>
            <w:tcBorders>
              <w:top w:val="single" w:sz="4" w:space="0" w:color="auto"/>
              <w:left w:val="nil"/>
              <w:bottom w:val="double" w:sz="4" w:space="0" w:color="auto"/>
            </w:tcBorders>
            <w:vAlign w:val="center"/>
          </w:tcPr>
          <w:p w:rsidR="002D0824" w:rsidRPr="00AE0D77" w:rsidRDefault="002D0824" w:rsidP="00FC4D38">
            <w:pPr>
              <w:jc w:val="center"/>
              <w:rPr>
                <w:rFonts w:eastAsia="標楷體"/>
                <w:bCs/>
                <w:kern w:val="0"/>
                <w:szCs w:val="40"/>
              </w:rPr>
            </w:pPr>
            <w:r w:rsidRPr="00AE0D77">
              <w:rPr>
                <w:rFonts w:eastAsia="標楷體"/>
                <w:bCs/>
                <w:kern w:val="0"/>
                <w:szCs w:val="40"/>
              </w:rPr>
              <w:t>國內生</w:t>
            </w:r>
            <w:r w:rsidRPr="00AE0D77">
              <w:rPr>
                <w:rFonts w:eastAsia="標楷體"/>
                <w:bCs/>
                <w:kern w:val="0"/>
                <w:szCs w:val="40"/>
              </w:rPr>
              <w:br/>
            </w:r>
            <w:r w:rsidRPr="00AE0D77">
              <w:rPr>
                <w:rFonts w:eastAsia="標楷體"/>
                <w:bCs/>
                <w:kern w:val="0"/>
                <w:szCs w:val="40"/>
              </w:rPr>
              <w:t>產總值</w:t>
            </w:r>
          </w:p>
          <w:p w:rsidR="002D0824" w:rsidRPr="00AE0D77" w:rsidRDefault="002D0824" w:rsidP="00FC4D38">
            <w:pPr>
              <w:jc w:val="center"/>
              <w:rPr>
                <w:rFonts w:eastAsia="標楷體"/>
              </w:rPr>
            </w:pPr>
            <w:r w:rsidRPr="00AE0D77">
              <w:rPr>
                <w:rFonts w:eastAsia="標楷體"/>
              </w:rPr>
              <w:t>（</w:t>
            </w:r>
            <w:r w:rsidRPr="00AE0D77">
              <w:rPr>
                <w:rFonts w:eastAsia="標楷體"/>
              </w:rPr>
              <w:t>GDP</w:t>
            </w:r>
            <w:r w:rsidRPr="00AE0D77">
              <w:rPr>
                <w:rFonts w:eastAsia="標楷體"/>
              </w:rPr>
              <w:t>）</w:t>
            </w:r>
          </w:p>
        </w:tc>
        <w:tc>
          <w:tcPr>
            <w:tcW w:w="581" w:type="pct"/>
            <w:tcBorders>
              <w:top w:val="single" w:sz="4" w:space="0" w:color="auto"/>
              <w:bottom w:val="single" w:sz="4" w:space="0" w:color="auto"/>
            </w:tcBorders>
            <w:vAlign w:val="center"/>
          </w:tcPr>
          <w:p w:rsidR="002D0824" w:rsidRPr="00AE0D77" w:rsidRDefault="002D0824" w:rsidP="00FC4D38">
            <w:pPr>
              <w:spacing w:line="240" w:lineRule="atLeast"/>
              <w:jc w:val="center"/>
              <w:rPr>
                <w:rFonts w:eastAsia="標楷體"/>
                <w:sz w:val="22"/>
              </w:rPr>
            </w:pPr>
            <w:r w:rsidRPr="00AE0D77">
              <w:rPr>
                <w:rFonts w:eastAsia="標楷體"/>
                <w:sz w:val="22"/>
              </w:rPr>
              <w:t>金額</w:t>
            </w:r>
          </w:p>
          <w:p w:rsidR="002D0824" w:rsidRPr="00AE0D77" w:rsidRDefault="002D0824" w:rsidP="00FC4D38">
            <w:pPr>
              <w:spacing w:line="240" w:lineRule="atLeast"/>
              <w:jc w:val="center"/>
              <w:rPr>
                <w:rFonts w:eastAsia="標楷體"/>
                <w:sz w:val="22"/>
              </w:rPr>
            </w:pPr>
            <w:r w:rsidRPr="00AE0D77">
              <w:rPr>
                <w:rFonts w:eastAsia="標楷體"/>
                <w:sz w:val="22"/>
              </w:rPr>
              <w:t>（億人民幣）</w:t>
            </w:r>
          </w:p>
        </w:tc>
        <w:tc>
          <w:tcPr>
            <w:tcW w:w="420" w:type="pct"/>
            <w:tcBorders>
              <w:top w:val="single" w:sz="4" w:space="0" w:color="auto"/>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519,470</w:t>
            </w:r>
          </w:p>
        </w:tc>
        <w:tc>
          <w:tcPr>
            <w:tcW w:w="441" w:type="pct"/>
            <w:tcBorders>
              <w:top w:val="single" w:sz="4" w:space="0" w:color="auto"/>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588,019</w:t>
            </w:r>
          </w:p>
        </w:tc>
        <w:tc>
          <w:tcPr>
            <w:tcW w:w="441" w:type="pct"/>
            <w:tcBorders>
              <w:top w:val="single" w:sz="4" w:space="0" w:color="auto"/>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635, 910</w:t>
            </w:r>
          </w:p>
        </w:tc>
        <w:tc>
          <w:tcPr>
            <w:tcW w:w="441" w:type="pct"/>
            <w:tcBorders>
              <w:top w:val="single" w:sz="4" w:space="0" w:color="auto"/>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689, 052</w:t>
            </w:r>
          </w:p>
        </w:tc>
        <w:tc>
          <w:tcPr>
            <w:tcW w:w="441" w:type="pct"/>
            <w:tcBorders>
              <w:top w:val="single" w:sz="4" w:space="0" w:color="auto"/>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744,127</w:t>
            </w:r>
          </w:p>
        </w:tc>
        <w:tc>
          <w:tcPr>
            <w:tcW w:w="413" w:type="pct"/>
            <w:tcBorders>
              <w:top w:val="single" w:sz="4" w:space="0" w:color="auto"/>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180,683</w:t>
            </w:r>
          </w:p>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(Q1)</w:t>
            </w:r>
          </w:p>
        </w:tc>
        <w:tc>
          <w:tcPr>
            <w:tcW w:w="417" w:type="pct"/>
            <w:tcBorders>
              <w:top w:val="single" w:sz="4" w:space="0" w:color="auto"/>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c>
          <w:tcPr>
            <w:tcW w:w="413" w:type="pct"/>
            <w:tcBorders>
              <w:top w:val="single" w:sz="4" w:space="0" w:color="auto"/>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c>
          <w:tcPr>
            <w:tcW w:w="483" w:type="pct"/>
            <w:tcBorders>
              <w:top w:val="single" w:sz="4" w:space="0" w:color="auto"/>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r>
      <w:tr w:rsidR="002D0824" w:rsidRPr="00AE0D77" w:rsidTr="002D0824">
        <w:trPr>
          <w:cantSplit/>
          <w:trHeight w:hRule="exact" w:val="603"/>
          <w:jc w:val="center"/>
        </w:trPr>
        <w:tc>
          <w:tcPr>
            <w:tcW w:w="510" w:type="pct"/>
            <w:gridSpan w:val="2"/>
            <w:vMerge/>
            <w:tcBorders>
              <w:top w:val="double" w:sz="4" w:space="0" w:color="auto"/>
              <w:left w:val="nil"/>
              <w:bottom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581" w:type="pct"/>
            <w:tcBorders>
              <w:top w:val="single" w:sz="4" w:space="0" w:color="auto"/>
              <w:bottom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成長率</w:t>
            </w:r>
          </w:p>
          <w:p w:rsidR="002D0824" w:rsidRPr="00AE0D77" w:rsidRDefault="002D0824" w:rsidP="00FC4D38">
            <w:pPr>
              <w:snapToGrid w:val="0"/>
              <w:spacing w:line="240" w:lineRule="atLeast"/>
              <w:jc w:val="center"/>
              <w:rPr>
                <w:rFonts w:eastAsia="標楷體"/>
                <w:sz w:val="22"/>
              </w:rPr>
            </w:pPr>
            <w:r w:rsidRPr="00AE0D77">
              <w:rPr>
                <w:rFonts w:eastAsia="標楷體"/>
                <w:sz w:val="22"/>
              </w:rPr>
              <w:t>（</w:t>
            </w:r>
            <w:r w:rsidRPr="00AE0D77">
              <w:rPr>
                <w:rFonts w:eastAsia="標楷體"/>
                <w:sz w:val="22"/>
              </w:rPr>
              <w:t>%</w:t>
            </w:r>
            <w:r w:rsidRPr="00AE0D77">
              <w:rPr>
                <w:rFonts w:eastAsia="標楷體"/>
                <w:sz w:val="22"/>
              </w:rPr>
              <w:t>）</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7.7</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7.7</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7.3</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6.9</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6.7</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6.9</w:t>
            </w:r>
          </w:p>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(Q1)</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r>
      <w:tr w:rsidR="002D0824" w:rsidRPr="00AE0D77" w:rsidTr="002D0824">
        <w:trPr>
          <w:cantSplit/>
          <w:trHeight w:hRule="exact" w:val="620"/>
          <w:jc w:val="center"/>
        </w:trPr>
        <w:tc>
          <w:tcPr>
            <w:tcW w:w="510" w:type="pct"/>
            <w:gridSpan w:val="2"/>
            <w:vMerge w:val="restart"/>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ind w:rightChars="-20" w:right="-48"/>
              <w:jc w:val="center"/>
              <w:rPr>
                <w:rFonts w:eastAsia="標楷體"/>
              </w:rPr>
            </w:pPr>
            <w:r w:rsidRPr="00AE0D77">
              <w:rPr>
                <w:rFonts w:eastAsia="標楷體"/>
              </w:rPr>
              <w:t>固定資產投資</w:t>
            </w: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金額</w:t>
            </w:r>
          </w:p>
          <w:p w:rsidR="002D0824" w:rsidRPr="00AE0D77" w:rsidRDefault="002D0824" w:rsidP="00FC4D38">
            <w:pPr>
              <w:snapToGrid w:val="0"/>
              <w:spacing w:line="240" w:lineRule="atLeast"/>
              <w:jc w:val="center"/>
              <w:rPr>
                <w:rFonts w:eastAsia="標楷體"/>
                <w:sz w:val="22"/>
              </w:rPr>
            </w:pPr>
            <w:r w:rsidRPr="00AE0D77">
              <w:rPr>
                <w:rFonts w:eastAsia="標楷體"/>
                <w:sz w:val="22"/>
              </w:rPr>
              <w:t>（億人民幣）</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364,835</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436,528</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502,005</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47,835</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596,501</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52,399</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50,550</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59,391</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203,718</w:t>
            </w:r>
          </w:p>
        </w:tc>
      </w:tr>
      <w:tr w:rsidR="002D0824" w:rsidRPr="00AE0D77" w:rsidTr="002D0824">
        <w:trPr>
          <w:cantSplit/>
          <w:trHeight w:hRule="exact" w:val="620"/>
          <w:jc w:val="center"/>
        </w:trPr>
        <w:tc>
          <w:tcPr>
            <w:tcW w:w="510" w:type="pct"/>
            <w:gridSpan w:val="2"/>
            <w:vMerge/>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年增率</w:t>
            </w:r>
          </w:p>
          <w:p w:rsidR="002D0824" w:rsidRPr="00AE0D77" w:rsidRDefault="002D0824" w:rsidP="00FC4D38">
            <w:pPr>
              <w:snapToGrid w:val="0"/>
              <w:spacing w:line="240" w:lineRule="atLeast"/>
              <w:jc w:val="center"/>
              <w:rPr>
                <w:rFonts w:eastAsia="標楷體"/>
                <w:sz w:val="22"/>
              </w:rPr>
            </w:pPr>
            <w:r w:rsidRPr="00AE0D77">
              <w:rPr>
                <w:rFonts w:eastAsia="標楷體"/>
                <w:sz w:val="22"/>
              </w:rPr>
              <w:t>（</w:t>
            </w:r>
            <w:r w:rsidRPr="00AE0D77">
              <w:rPr>
                <w:rFonts w:eastAsia="標楷體"/>
                <w:sz w:val="22"/>
              </w:rPr>
              <w:t>%</w:t>
            </w:r>
            <w:r w:rsidRPr="00AE0D77">
              <w:rPr>
                <w:rFonts w:eastAsia="標楷體"/>
                <w:sz w:val="22"/>
              </w:rPr>
              <w:t>）</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20.6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19.6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15.7</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0.86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8.1</w:t>
            </w:r>
          </w:p>
        </w:tc>
        <w:tc>
          <w:tcPr>
            <w:tcW w:w="413" w:type="pct"/>
            <w:tcBorders>
              <w:top w:val="nil"/>
              <w:left w:val="nil"/>
              <w:bottom w:val="nil"/>
              <w:right w:val="nil"/>
            </w:tcBorders>
            <w:vAlign w:val="center"/>
          </w:tcPr>
          <w:p w:rsidR="002D0824" w:rsidRPr="00AE0D77" w:rsidRDefault="002D0824" w:rsidP="00FC4D38">
            <w:pPr>
              <w:jc w:val="center"/>
              <w:rPr>
                <w:rFonts w:eastAsia="標楷體"/>
              </w:rPr>
            </w:pPr>
            <w:r w:rsidRPr="00AE0D77">
              <w:rPr>
                <w:rFonts w:eastAsia="標楷體"/>
                <w:sz w:val="22"/>
                <w:szCs w:val="22"/>
              </w:rPr>
              <w:t>9.5</w:t>
            </w:r>
          </w:p>
        </w:tc>
        <w:tc>
          <w:tcPr>
            <w:tcW w:w="417" w:type="pct"/>
            <w:tcBorders>
              <w:top w:val="nil"/>
              <w:left w:val="nil"/>
              <w:bottom w:val="nil"/>
              <w:right w:val="nil"/>
            </w:tcBorders>
            <w:vAlign w:val="center"/>
          </w:tcPr>
          <w:p w:rsidR="002D0824" w:rsidRPr="00AE0D77" w:rsidRDefault="002D0824" w:rsidP="00FC4D38">
            <w:pPr>
              <w:jc w:val="center"/>
              <w:rPr>
                <w:rFonts w:eastAsia="標楷體"/>
              </w:rPr>
            </w:pPr>
            <w:r w:rsidRPr="00AE0D77">
              <w:rPr>
                <w:rFonts w:eastAsia="標楷體"/>
                <w:sz w:val="22"/>
                <w:szCs w:val="22"/>
              </w:rPr>
              <w:t>8.1</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7.8</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8.6</w:t>
            </w:r>
          </w:p>
        </w:tc>
      </w:tr>
      <w:tr w:rsidR="002D0824" w:rsidRPr="00AE0D77" w:rsidTr="002D0824">
        <w:trPr>
          <w:cantSplit/>
          <w:trHeight w:hRule="exact" w:val="620"/>
          <w:jc w:val="center"/>
        </w:trPr>
        <w:tc>
          <w:tcPr>
            <w:tcW w:w="510" w:type="pct"/>
            <w:gridSpan w:val="2"/>
            <w:vMerge w:val="restart"/>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ind w:rightChars="-20" w:right="-48"/>
              <w:jc w:val="center"/>
              <w:rPr>
                <w:rFonts w:eastAsia="標楷體"/>
              </w:rPr>
            </w:pPr>
            <w:r w:rsidRPr="00AE0D77">
              <w:rPr>
                <w:rFonts w:eastAsia="標楷體"/>
              </w:rPr>
              <w:t>消費品</w:t>
            </w:r>
            <w:r w:rsidRPr="00AE0D77">
              <w:rPr>
                <w:rFonts w:eastAsia="標楷體"/>
              </w:rPr>
              <w:br/>
            </w:r>
            <w:r w:rsidRPr="00AE0D77">
              <w:rPr>
                <w:rFonts w:eastAsia="標楷體"/>
              </w:rPr>
              <w:t>零售總額</w:t>
            </w: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金額</w:t>
            </w:r>
          </w:p>
          <w:p w:rsidR="002D0824" w:rsidRPr="00AE0D77" w:rsidRDefault="002D0824" w:rsidP="00FC4D38">
            <w:pPr>
              <w:snapToGrid w:val="0"/>
              <w:spacing w:line="240" w:lineRule="atLeast"/>
              <w:jc w:val="center"/>
              <w:rPr>
                <w:rFonts w:eastAsia="標楷體"/>
                <w:sz w:val="22"/>
              </w:rPr>
            </w:pPr>
            <w:r w:rsidRPr="00AE0D77">
              <w:rPr>
                <w:rFonts w:eastAsia="標楷體"/>
                <w:sz w:val="22"/>
              </w:rPr>
              <w:t>（億人民幣）</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207,167</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234,380</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262,394</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25,114</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332,316</w:t>
            </w:r>
          </w:p>
        </w:tc>
        <w:tc>
          <w:tcPr>
            <w:tcW w:w="413" w:type="pct"/>
            <w:tcBorders>
              <w:top w:val="nil"/>
              <w:left w:val="nil"/>
              <w:bottom w:val="nil"/>
              <w:right w:val="nil"/>
            </w:tcBorders>
            <w:vAlign w:val="center"/>
          </w:tcPr>
          <w:p w:rsidR="002D0824" w:rsidRPr="00AE0D77" w:rsidRDefault="002D0824" w:rsidP="00FC4D38">
            <w:pPr>
              <w:jc w:val="center"/>
              <w:rPr>
                <w:rFonts w:eastAsia="標楷體"/>
              </w:rPr>
            </w:pPr>
            <w:r w:rsidRPr="00AE0D77">
              <w:rPr>
                <w:rFonts w:eastAsia="標楷體"/>
                <w:sz w:val="22"/>
                <w:szCs w:val="22"/>
              </w:rPr>
              <w:t>27,864</w:t>
            </w:r>
          </w:p>
        </w:tc>
        <w:tc>
          <w:tcPr>
            <w:tcW w:w="417" w:type="pct"/>
            <w:tcBorders>
              <w:top w:val="nil"/>
              <w:left w:val="nil"/>
              <w:bottom w:val="nil"/>
              <w:right w:val="nil"/>
            </w:tcBorders>
            <w:vAlign w:val="center"/>
          </w:tcPr>
          <w:p w:rsidR="002D0824" w:rsidRPr="00AE0D77" w:rsidRDefault="002D0824" w:rsidP="00FC4D38">
            <w:pPr>
              <w:jc w:val="center"/>
              <w:rPr>
                <w:rFonts w:eastAsia="標楷體"/>
              </w:rPr>
            </w:pPr>
            <w:r w:rsidRPr="00AE0D77">
              <w:rPr>
                <w:rFonts w:eastAsia="標楷體"/>
                <w:sz w:val="22"/>
                <w:szCs w:val="22"/>
              </w:rPr>
              <w:t>27,278</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29,459</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142,561</w:t>
            </w:r>
          </w:p>
        </w:tc>
      </w:tr>
      <w:tr w:rsidR="002D0824" w:rsidRPr="00AE0D77" w:rsidTr="002D0824">
        <w:trPr>
          <w:cantSplit/>
          <w:trHeight w:hRule="exact" w:val="620"/>
          <w:jc w:val="center"/>
        </w:trPr>
        <w:tc>
          <w:tcPr>
            <w:tcW w:w="510" w:type="pct"/>
            <w:gridSpan w:val="2"/>
            <w:vMerge/>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年增率</w:t>
            </w:r>
          </w:p>
          <w:p w:rsidR="002D0824" w:rsidRPr="00AE0D77" w:rsidRDefault="002D0824" w:rsidP="00FC4D38">
            <w:pPr>
              <w:snapToGrid w:val="0"/>
              <w:spacing w:line="240" w:lineRule="atLeast"/>
              <w:jc w:val="center"/>
              <w:rPr>
                <w:rFonts w:eastAsia="標楷體"/>
                <w:sz w:val="22"/>
              </w:rPr>
            </w:pPr>
            <w:r w:rsidRPr="00AE0D77">
              <w:rPr>
                <w:rFonts w:eastAsia="標楷體"/>
                <w:sz w:val="22"/>
              </w:rPr>
              <w:t>（</w:t>
            </w:r>
            <w:r w:rsidRPr="00AE0D77">
              <w:rPr>
                <w:rFonts w:eastAsia="標楷體"/>
                <w:sz w:val="22"/>
              </w:rPr>
              <w:t>%</w:t>
            </w:r>
            <w:r w:rsidRPr="00AE0D77">
              <w:rPr>
                <w:rFonts w:eastAsia="標楷體"/>
                <w:sz w:val="22"/>
              </w:rPr>
              <w:t>）</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14.3</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13.1</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12.0</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10.5</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10.4</w:t>
            </w:r>
          </w:p>
        </w:tc>
        <w:tc>
          <w:tcPr>
            <w:tcW w:w="413" w:type="pct"/>
            <w:tcBorders>
              <w:top w:val="nil"/>
              <w:left w:val="nil"/>
              <w:bottom w:val="nil"/>
              <w:right w:val="nil"/>
            </w:tcBorders>
            <w:vAlign w:val="center"/>
          </w:tcPr>
          <w:p w:rsidR="002D0824" w:rsidRPr="00AE0D77" w:rsidRDefault="002D0824" w:rsidP="00FC4D38">
            <w:pPr>
              <w:jc w:val="center"/>
              <w:rPr>
                <w:rFonts w:eastAsia="標楷體"/>
              </w:rPr>
            </w:pPr>
            <w:r w:rsidRPr="00AE0D77">
              <w:rPr>
                <w:rFonts w:eastAsia="標楷體"/>
                <w:sz w:val="22"/>
                <w:szCs w:val="22"/>
              </w:rPr>
              <w:t>10.9</w:t>
            </w:r>
          </w:p>
        </w:tc>
        <w:tc>
          <w:tcPr>
            <w:tcW w:w="417" w:type="pct"/>
            <w:tcBorders>
              <w:top w:val="nil"/>
              <w:left w:val="nil"/>
              <w:bottom w:val="nil"/>
              <w:right w:val="nil"/>
            </w:tcBorders>
            <w:vAlign w:val="center"/>
          </w:tcPr>
          <w:p w:rsidR="002D0824" w:rsidRPr="00AE0D77" w:rsidRDefault="002D0824" w:rsidP="00FC4D38">
            <w:pPr>
              <w:jc w:val="center"/>
              <w:rPr>
                <w:rFonts w:eastAsia="標楷體"/>
              </w:rPr>
            </w:pPr>
            <w:r w:rsidRPr="00AE0D77">
              <w:rPr>
                <w:rFonts w:eastAsia="標楷體"/>
                <w:sz w:val="22"/>
                <w:szCs w:val="22"/>
              </w:rPr>
              <w:t>10.7</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10.7</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10.3</w:t>
            </w:r>
          </w:p>
        </w:tc>
      </w:tr>
      <w:tr w:rsidR="002D0824" w:rsidRPr="00AE0D77" w:rsidTr="002D0824">
        <w:trPr>
          <w:cantSplit/>
          <w:trHeight w:val="639"/>
          <w:jc w:val="center"/>
        </w:trPr>
        <w:tc>
          <w:tcPr>
            <w:tcW w:w="179" w:type="pct"/>
            <w:vMerge w:val="restart"/>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jc w:val="right"/>
              <w:rPr>
                <w:rFonts w:eastAsia="標楷體"/>
              </w:rPr>
            </w:pPr>
            <w:r w:rsidRPr="00AE0D77">
              <w:rPr>
                <w:rFonts w:eastAsia="標楷體"/>
              </w:rPr>
              <w:t>對外</w:t>
            </w:r>
          </w:p>
          <w:p w:rsidR="002D0824" w:rsidRPr="00AE0D77" w:rsidRDefault="002D0824" w:rsidP="00FC4D38">
            <w:pPr>
              <w:snapToGrid w:val="0"/>
              <w:spacing w:line="300" w:lineRule="auto"/>
              <w:jc w:val="right"/>
              <w:rPr>
                <w:rFonts w:eastAsia="標楷體"/>
              </w:rPr>
            </w:pPr>
            <w:r w:rsidRPr="00AE0D77">
              <w:rPr>
                <w:rFonts w:eastAsia="標楷體"/>
              </w:rPr>
              <w:t>貿易</w:t>
            </w:r>
          </w:p>
        </w:tc>
        <w:tc>
          <w:tcPr>
            <w:tcW w:w="331" w:type="pct"/>
            <w:vMerge w:val="restar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r w:rsidRPr="00AE0D77">
              <w:rPr>
                <w:rFonts w:eastAsia="標楷體"/>
              </w:rPr>
              <w:t>出口</w:t>
            </w: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金額</w:t>
            </w:r>
          </w:p>
          <w:p w:rsidR="002D0824" w:rsidRPr="00AE0D77" w:rsidRDefault="002D0824" w:rsidP="00FC4D38">
            <w:pPr>
              <w:snapToGrid w:val="0"/>
              <w:spacing w:line="240" w:lineRule="atLeast"/>
              <w:jc w:val="center"/>
              <w:rPr>
                <w:rFonts w:eastAsia="標楷體"/>
                <w:sz w:val="22"/>
              </w:rPr>
            </w:pPr>
            <w:r w:rsidRPr="00AE0D77">
              <w:rPr>
                <w:rFonts w:eastAsia="標楷體"/>
                <w:sz w:val="22"/>
              </w:rPr>
              <w:t>（億美元）</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22,100.4</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20,489</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22,100.4</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1,608.1</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20,974.4</w:t>
            </w:r>
          </w:p>
        </w:tc>
        <w:tc>
          <w:tcPr>
            <w:tcW w:w="413" w:type="pct"/>
            <w:tcBorders>
              <w:top w:val="nil"/>
              <w:left w:val="nil"/>
              <w:bottom w:val="nil"/>
              <w:right w:val="nil"/>
            </w:tcBorders>
            <w:vAlign w:val="center"/>
          </w:tcPr>
          <w:p w:rsidR="002D0824" w:rsidRPr="00AE0D77" w:rsidRDefault="002D0824" w:rsidP="00FC4D38">
            <w:pPr>
              <w:snapToGrid w:val="0"/>
              <w:spacing w:before="100" w:beforeAutospacing="1" w:line="240" w:lineRule="exact"/>
              <w:jc w:val="center"/>
              <w:rPr>
                <w:rFonts w:eastAsia="標楷體"/>
                <w:sz w:val="22"/>
                <w:szCs w:val="22"/>
              </w:rPr>
            </w:pPr>
            <w:r w:rsidRPr="00AE0D77">
              <w:rPr>
                <w:rFonts w:eastAsia="標楷體"/>
                <w:sz w:val="22"/>
                <w:szCs w:val="22"/>
              </w:rPr>
              <w:t>1,806.0</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1,800.0</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1,910.3</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8,533.4</w:t>
            </w:r>
          </w:p>
        </w:tc>
      </w:tr>
      <w:tr w:rsidR="002D0824" w:rsidRPr="00AE0D77" w:rsidTr="002D0824">
        <w:trPr>
          <w:cantSplit/>
          <w:trHeight w:hRule="exact" w:val="620"/>
          <w:jc w:val="center"/>
        </w:trPr>
        <w:tc>
          <w:tcPr>
            <w:tcW w:w="179" w:type="pct"/>
            <w:vMerge/>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331" w:type="pct"/>
            <w:vMerge/>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年增率</w:t>
            </w:r>
          </w:p>
          <w:p w:rsidR="002D0824" w:rsidRPr="00AE0D77" w:rsidRDefault="002D0824" w:rsidP="00FC4D38">
            <w:pPr>
              <w:snapToGrid w:val="0"/>
              <w:spacing w:line="240" w:lineRule="atLeast"/>
              <w:jc w:val="center"/>
              <w:rPr>
                <w:rFonts w:eastAsia="標楷體"/>
                <w:sz w:val="22"/>
              </w:rPr>
            </w:pPr>
            <w:r w:rsidRPr="00AE0D77">
              <w:rPr>
                <w:rFonts w:eastAsia="標楷體"/>
                <w:sz w:val="22"/>
              </w:rPr>
              <w:t>（</w:t>
            </w:r>
            <w:r w:rsidRPr="00AE0D77">
              <w:rPr>
                <w:rFonts w:eastAsia="標楷體"/>
                <w:sz w:val="22"/>
              </w:rPr>
              <w:t>%</w:t>
            </w:r>
            <w:r w:rsidRPr="00AE0D77">
              <w:rPr>
                <w:rFonts w:eastAsia="標楷體"/>
                <w:sz w:val="22"/>
              </w:rPr>
              <w:t>）</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7.9</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7.9</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11.5</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-7.7</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0.1</w:t>
            </w:r>
          </w:p>
        </w:tc>
        <w:tc>
          <w:tcPr>
            <w:tcW w:w="413" w:type="pct"/>
            <w:tcBorders>
              <w:top w:val="nil"/>
              <w:left w:val="nil"/>
              <w:bottom w:val="nil"/>
              <w:right w:val="nil"/>
            </w:tcBorders>
            <w:vAlign w:val="center"/>
          </w:tcPr>
          <w:p w:rsidR="002D0824" w:rsidRPr="00AE0D77" w:rsidRDefault="002D0824" w:rsidP="00FC4D38">
            <w:pPr>
              <w:snapToGrid w:val="0"/>
              <w:spacing w:before="100" w:beforeAutospacing="1" w:line="240" w:lineRule="exact"/>
              <w:jc w:val="center"/>
              <w:rPr>
                <w:rFonts w:eastAsia="標楷體"/>
                <w:sz w:val="22"/>
                <w:szCs w:val="22"/>
              </w:rPr>
            </w:pPr>
            <w:r w:rsidRPr="00AE0D77">
              <w:rPr>
                <w:rFonts w:eastAsia="標楷體"/>
                <w:sz w:val="22"/>
                <w:szCs w:val="22"/>
              </w:rPr>
              <w:t>16.4</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8.0</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8.7</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8.2</w:t>
            </w:r>
          </w:p>
        </w:tc>
      </w:tr>
      <w:tr w:rsidR="002D0824" w:rsidRPr="00AE0D77" w:rsidTr="002D0824">
        <w:trPr>
          <w:cantSplit/>
          <w:trHeight w:hRule="exact" w:val="610"/>
          <w:jc w:val="center"/>
        </w:trPr>
        <w:tc>
          <w:tcPr>
            <w:tcW w:w="179" w:type="pct"/>
            <w:vMerge/>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331" w:type="pct"/>
            <w:vMerge w:val="restar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r w:rsidRPr="00AE0D77">
              <w:rPr>
                <w:rFonts w:eastAsia="標楷體"/>
              </w:rPr>
              <w:t>進口</w:t>
            </w: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金額</w:t>
            </w:r>
          </w:p>
          <w:p w:rsidR="002D0824" w:rsidRPr="00AE0D77" w:rsidRDefault="002D0824" w:rsidP="00FC4D38">
            <w:pPr>
              <w:snapToGrid w:val="0"/>
              <w:spacing w:line="240" w:lineRule="atLeast"/>
              <w:jc w:val="center"/>
              <w:rPr>
                <w:rFonts w:eastAsia="標楷體"/>
                <w:sz w:val="22"/>
              </w:rPr>
            </w:pPr>
            <w:r w:rsidRPr="00AE0D77">
              <w:rPr>
                <w:rFonts w:eastAsia="標楷體"/>
                <w:sz w:val="22"/>
              </w:rPr>
              <w:t>（億美元）</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18,178</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19,502.9</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1,309.6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15,874.8</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1,522.0</w:t>
            </w:r>
          </w:p>
        </w:tc>
        <w:tc>
          <w:tcPr>
            <w:tcW w:w="413" w:type="pct"/>
            <w:tcBorders>
              <w:top w:val="nil"/>
              <w:left w:val="nil"/>
              <w:bottom w:val="nil"/>
              <w:right w:val="nil"/>
            </w:tcBorders>
            <w:vAlign w:val="center"/>
          </w:tcPr>
          <w:p w:rsidR="002D0824" w:rsidRPr="00AE0D77" w:rsidRDefault="002D0824" w:rsidP="00FC4D38">
            <w:pPr>
              <w:snapToGrid w:val="0"/>
              <w:spacing w:before="100" w:beforeAutospacing="1" w:line="240" w:lineRule="exact"/>
              <w:jc w:val="center"/>
              <w:rPr>
                <w:rFonts w:eastAsia="標楷體"/>
                <w:sz w:val="22"/>
                <w:szCs w:val="22"/>
              </w:rPr>
            </w:pPr>
            <w:r w:rsidRPr="00AE0D77">
              <w:rPr>
                <w:rFonts w:eastAsia="標楷體"/>
                <w:sz w:val="22"/>
                <w:szCs w:val="22"/>
              </w:rPr>
              <w:t>1,566.8</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1,419.5</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1,502.2</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7,095.8</w:t>
            </w:r>
          </w:p>
        </w:tc>
      </w:tr>
      <w:tr w:rsidR="002D0824" w:rsidRPr="00AE0D77" w:rsidTr="002D0824">
        <w:trPr>
          <w:cantSplit/>
          <w:trHeight w:hRule="exact" w:val="594"/>
          <w:jc w:val="center"/>
        </w:trPr>
        <w:tc>
          <w:tcPr>
            <w:tcW w:w="179" w:type="pct"/>
            <w:vMerge/>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331" w:type="pct"/>
            <w:vMerge/>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581" w:type="pct"/>
            <w:tcBorders>
              <w:top w:val="single" w:sz="4" w:space="0" w:color="auto"/>
              <w:left w:val="single" w:sz="4" w:space="0" w:color="auto"/>
              <w:bottom w:val="single" w:sz="4" w:space="0" w:color="auto"/>
              <w:right w:val="single" w:sz="4" w:space="0" w:color="auto"/>
            </w:tcBorders>
          </w:tcPr>
          <w:p w:rsidR="002D0824" w:rsidRPr="00AE0D77" w:rsidRDefault="002D0824" w:rsidP="00FC4D38">
            <w:pPr>
              <w:snapToGrid w:val="0"/>
              <w:spacing w:line="240" w:lineRule="atLeast"/>
              <w:jc w:val="center"/>
              <w:rPr>
                <w:rFonts w:eastAsia="標楷體"/>
                <w:sz w:val="22"/>
              </w:rPr>
            </w:pPr>
            <w:r w:rsidRPr="00AE0D77">
              <w:rPr>
                <w:rFonts w:eastAsia="標楷體"/>
                <w:sz w:val="22"/>
              </w:rPr>
              <w:t>年增率</w:t>
            </w:r>
          </w:p>
          <w:p w:rsidR="002D0824" w:rsidRPr="00AE0D77" w:rsidRDefault="002D0824" w:rsidP="00FC4D38">
            <w:pPr>
              <w:snapToGrid w:val="0"/>
              <w:spacing w:line="240" w:lineRule="atLeast"/>
              <w:jc w:val="center"/>
              <w:rPr>
                <w:rFonts w:eastAsia="標楷體"/>
                <w:sz w:val="22"/>
              </w:rPr>
            </w:pPr>
            <w:r w:rsidRPr="00AE0D77">
              <w:rPr>
                <w:rFonts w:eastAsia="標楷體"/>
                <w:sz w:val="22"/>
              </w:rPr>
              <w:t>（</w:t>
            </w:r>
            <w:r w:rsidRPr="00AE0D77">
              <w:rPr>
                <w:rFonts w:eastAsia="標楷體"/>
                <w:sz w:val="22"/>
              </w:rPr>
              <w:t>%</w:t>
            </w:r>
            <w:r w:rsidRPr="00AE0D77">
              <w:rPr>
                <w:rFonts w:eastAsia="標楷體"/>
                <w:sz w:val="22"/>
              </w:rPr>
              <w:t>）</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4.3</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7.3</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-7.6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-5.5</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6.7</w:t>
            </w:r>
          </w:p>
        </w:tc>
        <w:tc>
          <w:tcPr>
            <w:tcW w:w="413" w:type="pct"/>
            <w:tcBorders>
              <w:top w:val="nil"/>
              <w:left w:val="nil"/>
              <w:bottom w:val="nil"/>
              <w:right w:val="nil"/>
            </w:tcBorders>
            <w:vAlign w:val="center"/>
          </w:tcPr>
          <w:p w:rsidR="002D0824" w:rsidRPr="00AE0D77" w:rsidRDefault="002D0824" w:rsidP="00FC4D38">
            <w:pPr>
              <w:snapToGrid w:val="0"/>
              <w:spacing w:before="100" w:beforeAutospacing="1" w:line="240" w:lineRule="exact"/>
              <w:jc w:val="center"/>
              <w:rPr>
                <w:rFonts w:eastAsia="標楷體"/>
                <w:sz w:val="22"/>
                <w:szCs w:val="22"/>
              </w:rPr>
            </w:pPr>
            <w:r w:rsidRPr="00AE0D77">
              <w:rPr>
                <w:rFonts w:eastAsia="標楷體"/>
                <w:sz w:val="22"/>
                <w:szCs w:val="22"/>
              </w:rPr>
              <w:t>20.3</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11.9</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14.8</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19.5</w:t>
            </w:r>
          </w:p>
        </w:tc>
      </w:tr>
      <w:tr w:rsidR="002D0824" w:rsidRPr="00AE0D77" w:rsidTr="002D0824">
        <w:trPr>
          <w:cantSplit/>
          <w:trHeight w:hRule="exact" w:val="620"/>
          <w:jc w:val="center"/>
        </w:trPr>
        <w:tc>
          <w:tcPr>
            <w:tcW w:w="510" w:type="pct"/>
            <w:gridSpan w:val="2"/>
            <w:vMerge w:val="restart"/>
            <w:tcBorders>
              <w:top w:val="single" w:sz="4" w:space="0" w:color="auto"/>
              <w:left w:val="nil"/>
              <w:right w:val="single" w:sz="4" w:space="0" w:color="auto"/>
            </w:tcBorders>
            <w:vAlign w:val="center"/>
          </w:tcPr>
          <w:p w:rsidR="002D0824" w:rsidRPr="00AE0D77" w:rsidRDefault="002D0824" w:rsidP="00FC4D38">
            <w:pPr>
              <w:snapToGrid w:val="0"/>
              <w:spacing w:line="300" w:lineRule="auto"/>
              <w:ind w:rightChars="-9" w:right="-22"/>
              <w:jc w:val="center"/>
              <w:rPr>
                <w:rFonts w:eastAsia="標楷體"/>
              </w:rPr>
            </w:pPr>
            <w:r w:rsidRPr="00AE0D77">
              <w:rPr>
                <w:rFonts w:eastAsia="標楷體"/>
              </w:rPr>
              <w:t>實際外商直接投資</w:t>
            </w: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金額</w:t>
            </w:r>
          </w:p>
          <w:p w:rsidR="002D0824" w:rsidRPr="00AE0D77" w:rsidRDefault="002D0824" w:rsidP="00FC4D38">
            <w:pPr>
              <w:snapToGrid w:val="0"/>
              <w:spacing w:line="240" w:lineRule="atLeast"/>
              <w:jc w:val="center"/>
              <w:rPr>
                <w:rFonts w:eastAsia="標楷體"/>
                <w:sz w:val="22"/>
              </w:rPr>
            </w:pPr>
            <w:r w:rsidRPr="00AE0D77">
              <w:rPr>
                <w:rFonts w:eastAsia="標楷體"/>
                <w:sz w:val="22"/>
              </w:rPr>
              <w:t>（億美元）</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1,117</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1,175.9</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1,195.6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rPr>
            </w:pPr>
            <w:r w:rsidRPr="00AE0D77">
              <w:rPr>
                <w:rFonts w:eastAsia="標楷體"/>
              </w:rPr>
              <w:t>1,262.7</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1,260.1</w:t>
            </w:r>
          </w:p>
        </w:tc>
        <w:tc>
          <w:tcPr>
            <w:tcW w:w="413" w:type="pct"/>
            <w:tcBorders>
              <w:top w:val="nil"/>
              <w:left w:val="nil"/>
              <w:bottom w:val="nil"/>
              <w:right w:val="nil"/>
            </w:tcBorders>
            <w:vAlign w:val="center"/>
          </w:tcPr>
          <w:p w:rsidR="002D0824" w:rsidRPr="00AE0D77" w:rsidRDefault="002D0824" w:rsidP="00FC4D38">
            <w:pPr>
              <w:snapToGrid w:val="0"/>
              <w:spacing w:before="100" w:beforeAutospacing="1" w:line="240" w:lineRule="exact"/>
              <w:jc w:val="center"/>
              <w:rPr>
                <w:rFonts w:eastAsia="標楷體"/>
                <w:sz w:val="22"/>
                <w:szCs w:val="22"/>
              </w:rPr>
            </w:pPr>
            <w:r w:rsidRPr="00AE0D77">
              <w:rPr>
                <w:rFonts w:eastAsia="標楷體"/>
                <w:sz w:val="22"/>
                <w:szCs w:val="22"/>
              </w:rPr>
              <w:t>131.1</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89.2</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427.3</w:t>
            </w:r>
          </w:p>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(1-4</w:t>
            </w:r>
            <w:r w:rsidRPr="00AE0D77">
              <w:rPr>
                <w:rFonts w:eastAsia="標楷體"/>
                <w:sz w:val="22"/>
                <w:szCs w:val="22"/>
              </w:rPr>
              <w:t>月</w:t>
            </w:r>
            <w:r w:rsidRPr="00AE0D77">
              <w:rPr>
                <w:rFonts w:eastAsia="標楷體"/>
                <w:sz w:val="22"/>
                <w:szCs w:val="22"/>
              </w:rPr>
              <w:t>)</w:t>
            </w:r>
          </w:p>
        </w:tc>
      </w:tr>
      <w:tr w:rsidR="002D0824" w:rsidRPr="00AE0D77" w:rsidTr="002D0824">
        <w:trPr>
          <w:cantSplit/>
          <w:trHeight w:hRule="exact" w:val="614"/>
          <w:jc w:val="center"/>
        </w:trPr>
        <w:tc>
          <w:tcPr>
            <w:tcW w:w="510" w:type="pct"/>
            <w:gridSpan w:val="2"/>
            <w:vMerge/>
            <w:tcBorders>
              <w:left w:val="nil"/>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年增率</w:t>
            </w:r>
          </w:p>
          <w:p w:rsidR="002D0824" w:rsidRPr="00AE0D77" w:rsidRDefault="002D0824" w:rsidP="00FC4D38">
            <w:pPr>
              <w:snapToGrid w:val="0"/>
              <w:spacing w:line="240" w:lineRule="atLeast"/>
              <w:jc w:val="center"/>
              <w:rPr>
                <w:rFonts w:eastAsia="標楷體"/>
                <w:sz w:val="22"/>
              </w:rPr>
            </w:pPr>
            <w:r w:rsidRPr="00AE0D77">
              <w:rPr>
                <w:rFonts w:eastAsia="標楷體"/>
                <w:sz w:val="22"/>
              </w:rPr>
              <w:t>（</w:t>
            </w:r>
            <w:r w:rsidRPr="00AE0D77">
              <w:rPr>
                <w:rFonts w:eastAsia="標楷體"/>
                <w:sz w:val="22"/>
              </w:rPr>
              <w:t>%</w:t>
            </w:r>
            <w:r w:rsidRPr="00AE0D77">
              <w:rPr>
                <w:rFonts w:eastAsia="標楷體"/>
                <w:sz w:val="22"/>
              </w:rPr>
              <w:t>）</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-3.7</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5.25</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1.7</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rPr>
            </w:pPr>
            <w:r w:rsidRPr="00AE0D77">
              <w:rPr>
                <w:rFonts w:eastAsia="標楷體"/>
              </w:rPr>
              <w:t>5.6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-0.21</w:t>
            </w:r>
          </w:p>
        </w:tc>
        <w:tc>
          <w:tcPr>
            <w:tcW w:w="413" w:type="pct"/>
            <w:tcBorders>
              <w:top w:val="nil"/>
              <w:left w:val="nil"/>
              <w:bottom w:val="nil"/>
              <w:right w:val="nil"/>
            </w:tcBorders>
            <w:vAlign w:val="center"/>
          </w:tcPr>
          <w:p w:rsidR="002D0824" w:rsidRPr="00AE0D77" w:rsidRDefault="002D0824" w:rsidP="00FC4D38">
            <w:pPr>
              <w:snapToGrid w:val="0"/>
              <w:spacing w:before="100" w:beforeAutospacing="1" w:line="240" w:lineRule="exact"/>
              <w:jc w:val="center"/>
              <w:rPr>
                <w:rFonts w:eastAsia="標楷體"/>
                <w:sz w:val="22"/>
                <w:szCs w:val="22"/>
              </w:rPr>
            </w:pPr>
            <w:r w:rsidRPr="00AE0D77">
              <w:rPr>
                <w:rFonts w:eastAsia="標楷體"/>
                <w:sz w:val="22"/>
                <w:szCs w:val="22"/>
              </w:rPr>
              <w:t>1.6</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-9.8</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-5.7</w:t>
            </w:r>
          </w:p>
        </w:tc>
      </w:tr>
      <w:tr w:rsidR="002D0824" w:rsidRPr="00AE0D77" w:rsidTr="002D0824">
        <w:trPr>
          <w:cantSplit/>
          <w:trHeight w:val="972"/>
          <w:jc w:val="center"/>
        </w:trPr>
        <w:tc>
          <w:tcPr>
            <w:tcW w:w="510" w:type="pct"/>
            <w:gridSpan w:val="2"/>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ind w:left="2" w:rightChars="-19" w:right="-46" w:hanging="2"/>
              <w:jc w:val="center"/>
              <w:rPr>
                <w:rFonts w:eastAsia="標楷體"/>
              </w:rPr>
            </w:pPr>
            <w:r w:rsidRPr="00AE0D77">
              <w:rPr>
                <w:rFonts w:eastAsia="標楷體"/>
              </w:rPr>
              <w:t>居民消費價格指數</w:t>
            </w: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年增率</w:t>
            </w:r>
          </w:p>
          <w:p w:rsidR="002D0824" w:rsidRPr="00AE0D77" w:rsidRDefault="002D0824" w:rsidP="00FC4D38">
            <w:pPr>
              <w:snapToGrid w:val="0"/>
              <w:spacing w:line="240" w:lineRule="atLeast"/>
              <w:jc w:val="center"/>
              <w:rPr>
                <w:rFonts w:eastAsia="標楷體"/>
                <w:sz w:val="22"/>
              </w:rPr>
            </w:pPr>
            <w:r w:rsidRPr="00AE0D77">
              <w:rPr>
                <w:rFonts w:eastAsia="標楷體"/>
                <w:sz w:val="22"/>
              </w:rPr>
              <w:t>（</w:t>
            </w:r>
            <w:r w:rsidRPr="00AE0D77">
              <w:rPr>
                <w:rFonts w:eastAsia="標楷體"/>
                <w:sz w:val="22"/>
              </w:rPr>
              <w:t>%</w:t>
            </w:r>
            <w:r w:rsidRPr="00AE0D77">
              <w:rPr>
                <w:rFonts w:eastAsia="標楷體"/>
                <w:sz w:val="22"/>
              </w:rPr>
              <w:t>）</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2.0</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2.3</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2.0</w:t>
            </w:r>
          </w:p>
        </w:tc>
        <w:tc>
          <w:tcPr>
            <w:tcW w:w="413" w:type="pct"/>
            <w:tcBorders>
              <w:top w:val="nil"/>
              <w:left w:val="nil"/>
              <w:bottom w:val="nil"/>
              <w:right w:val="nil"/>
            </w:tcBorders>
            <w:vAlign w:val="center"/>
          </w:tcPr>
          <w:p w:rsidR="002D0824" w:rsidRPr="00AE0D77" w:rsidRDefault="002D0824" w:rsidP="00FC4D38">
            <w:pPr>
              <w:snapToGrid w:val="0"/>
              <w:spacing w:before="100" w:beforeAutospacing="1" w:line="240" w:lineRule="exact"/>
              <w:jc w:val="center"/>
              <w:rPr>
                <w:rFonts w:eastAsia="標楷體"/>
                <w:sz w:val="22"/>
                <w:szCs w:val="22"/>
              </w:rPr>
            </w:pPr>
            <w:r w:rsidRPr="00AE0D77">
              <w:rPr>
                <w:rFonts w:eastAsia="標楷體"/>
                <w:sz w:val="22"/>
                <w:szCs w:val="22"/>
              </w:rPr>
              <w:t>0.9</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1.2</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1.5</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1.4</w:t>
            </w:r>
          </w:p>
        </w:tc>
      </w:tr>
      <w:tr w:rsidR="002D0824" w:rsidRPr="00AE0D77" w:rsidTr="002D0824">
        <w:trPr>
          <w:cantSplit/>
          <w:trHeight w:val="822"/>
          <w:jc w:val="center"/>
        </w:trPr>
        <w:tc>
          <w:tcPr>
            <w:tcW w:w="179" w:type="pct"/>
            <w:vMerge w:val="restart"/>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jc w:val="right"/>
              <w:rPr>
                <w:rFonts w:eastAsia="標楷體"/>
              </w:rPr>
            </w:pPr>
            <w:r w:rsidRPr="00AE0D77">
              <w:rPr>
                <w:rFonts w:eastAsia="標楷體"/>
              </w:rPr>
              <w:t>金融</w:t>
            </w:r>
          </w:p>
        </w:tc>
        <w:tc>
          <w:tcPr>
            <w:tcW w:w="33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exact"/>
              <w:jc w:val="center"/>
              <w:rPr>
                <w:rFonts w:eastAsia="標楷體"/>
              </w:rPr>
            </w:pPr>
            <w:r w:rsidRPr="00AE0D77">
              <w:rPr>
                <w:rFonts w:eastAsia="標楷體"/>
              </w:rPr>
              <w:t>貨幣供給</w:t>
            </w:r>
          </w:p>
          <w:p w:rsidR="002D0824" w:rsidRPr="00AE0D77" w:rsidRDefault="002D0824" w:rsidP="00FC4D38">
            <w:pPr>
              <w:snapToGrid w:val="0"/>
              <w:spacing w:line="240" w:lineRule="exact"/>
              <w:ind w:hanging="133"/>
              <w:jc w:val="center"/>
              <w:rPr>
                <w:rFonts w:eastAsia="標楷體"/>
                <w:sz w:val="20"/>
              </w:rPr>
            </w:pPr>
            <w:r w:rsidRPr="00AE0D77">
              <w:rPr>
                <w:rFonts w:eastAsia="標楷體"/>
                <w:sz w:val="20"/>
              </w:rPr>
              <w:t xml:space="preserve"> </w:t>
            </w:r>
            <w:r w:rsidRPr="00AE0D77">
              <w:rPr>
                <w:rFonts w:eastAsia="標楷體"/>
                <w:sz w:val="20"/>
              </w:rPr>
              <w:t>（</w:t>
            </w:r>
            <w:r w:rsidRPr="00AE0D77">
              <w:rPr>
                <w:rFonts w:eastAsia="標楷體"/>
                <w:sz w:val="20"/>
              </w:rPr>
              <w:t>M2</w:t>
            </w:r>
            <w:r w:rsidRPr="00AE0D77">
              <w:rPr>
                <w:rFonts w:eastAsia="標楷體"/>
                <w:sz w:val="20"/>
              </w:rPr>
              <w:t>）</w:t>
            </w: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年增率</w:t>
            </w:r>
          </w:p>
          <w:p w:rsidR="002D0824" w:rsidRPr="00AE0D77" w:rsidRDefault="002D0824" w:rsidP="00FC4D38">
            <w:pPr>
              <w:snapToGrid w:val="0"/>
              <w:spacing w:line="240" w:lineRule="atLeast"/>
              <w:jc w:val="center"/>
              <w:rPr>
                <w:rFonts w:eastAsia="標楷體"/>
                <w:sz w:val="22"/>
              </w:rPr>
            </w:pPr>
            <w:r w:rsidRPr="00AE0D77">
              <w:rPr>
                <w:rFonts w:eastAsia="標楷體"/>
                <w:sz w:val="22"/>
              </w:rPr>
              <w:t>（</w:t>
            </w:r>
            <w:r w:rsidRPr="00AE0D77">
              <w:rPr>
                <w:rFonts w:eastAsia="標楷體"/>
                <w:sz w:val="22"/>
              </w:rPr>
              <w:t>%</w:t>
            </w:r>
            <w:r w:rsidRPr="00AE0D77">
              <w:rPr>
                <w:rFonts w:eastAsia="標楷體"/>
                <w:sz w:val="22"/>
              </w:rPr>
              <w:t>）</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rPr>
            </w:pPr>
            <w:r w:rsidRPr="00AE0D77">
              <w:rPr>
                <w:rFonts w:eastAsia="標楷體"/>
              </w:rPr>
              <w:t>13.6</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rPr>
            </w:pPr>
            <w:r w:rsidRPr="00AE0D77">
              <w:rPr>
                <w:rFonts w:eastAsia="標楷體"/>
              </w:rPr>
              <w:t>13.4</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rPr>
            </w:pPr>
            <w:r w:rsidRPr="00AE0D77">
              <w:rPr>
                <w:rFonts w:eastAsia="標楷體"/>
              </w:rPr>
              <w:t>13.4</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rPr>
            </w:pPr>
            <w:r w:rsidRPr="00AE0D77">
              <w:rPr>
                <w:rFonts w:eastAsia="標楷體"/>
              </w:rPr>
              <w:t>13.4</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11.4</w:t>
            </w:r>
          </w:p>
        </w:tc>
        <w:tc>
          <w:tcPr>
            <w:tcW w:w="413" w:type="pct"/>
            <w:tcBorders>
              <w:top w:val="nil"/>
              <w:left w:val="nil"/>
              <w:bottom w:val="nil"/>
              <w:right w:val="nil"/>
            </w:tcBorders>
            <w:vAlign w:val="center"/>
          </w:tcPr>
          <w:p w:rsidR="002D0824" w:rsidRPr="00AE0D77" w:rsidRDefault="002D0824" w:rsidP="00FC4D38">
            <w:pPr>
              <w:snapToGrid w:val="0"/>
              <w:spacing w:before="100" w:beforeAutospacing="1" w:line="240" w:lineRule="exact"/>
              <w:jc w:val="center"/>
              <w:rPr>
                <w:rFonts w:eastAsia="標楷體"/>
                <w:sz w:val="22"/>
                <w:szCs w:val="22"/>
              </w:rPr>
            </w:pPr>
            <w:r w:rsidRPr="00AE0D77">
              <w:rPr>
                <w:rFonts w:eastAsia="標楷體"/>
                <w:sz w:val="22"/>
                <w:szCs w:val="22"/>
              </w:rPr>
              <w:t>10.6</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10.5</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9.6</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r>
      <w:tr w:rsidR="002D0824" w:rsidRPr="00AE0D77" w:rsidTr="002D0824">
        <w:trPr>
          <w:cantSplit/>
          <w:trHeight w:val="675"/>
          <w:jc w:val="center"/>
        </w:trPr>
        <w:tc>
          <w:tcPr>
            <w:tcW w:w="179" w:type="pct"/>
            <w:vMerge/>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33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r w:rsidRPr="00AE0D77">
              <w:rPr>
                <w:rFonts w:eastAsia="標楷體"/>
              </w:rPr>
              <w:t>匯率</w:t>
            </w: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美元兌</w:t>
            </w:r>
          </w:p>
          <w:p w:rsidR="002D0824" w:rsidRPr="00AE0D77" w:rsidRDefault="002D0824" w:rsidP="00FC4D38">
            <w:pPr>
              <w:snapToGrid w:val="0"/>
              <w:spacing w:line="240" w:lineRule="atLeast"/>
              <w:jc w:val="center"/>
              <w:rPr>
                <w:rFonts w:eastAsia="標楷體"/>
                <w:sz w:val="22"/>
              </w:rPr>
            </w:pPr>
            <w:r w:rsidRPr="00AE0D77">
              <w:rPr>
                <w:rFonts w:eastAsia="標楷體"/>
                <w:sz w:val="22"/>
              </w:rPr>
              <w:t>人民幣</w:t>
            </w:r>
          </w:p>
        </w:tc>
        <w:tc>
          <w:tcPr>
            <w:tcW w:w="420"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1:6.0969</w:t>
            </w:r>
          </w:p>
        </w:tc>
        <w:tc>
          <w:tcPr>
            <w:tcW w:w="441" w:type="pct"/>
            <w:tcBorders>
              <w:top w:val="nil"/>
              <w:left w:val="nil"/>
              <w:bottom w:val="nil"/>
              <w:right w:val="nil"/>
            </w:tcBorders>
            <w:shd w:val="clear" w:color="auto" w:fill="auto"/>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1:6.4612</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1:6.4612</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1:6.4612</w:t>
            </w:r>
          </w:p>
        </w:tc>
        <w:tc>
          <w:tcPr>
            <w:tcW w:w="441" w:type="pct"/>
            <w:tcBorders>
              <w:top w:val="nil"/>
              <w:left w:val="nil"/>
              <w:bottom w:val="nil"/>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1:6.8865</w:t>
            </w:r>
          </w:p>
        </w:tc>
        <w:tc>
          <w:tcPr>
            <w:tcW w:w="413" w:type="pct"/>
            <w:tcBorders>
              <w:top w:val="nil"/>
              <w:left w:val="nil"/>
              <w:bottom w:val="nil"/>
              <w:right w:val="nil"/>
            </w:tcBorders>
            <w:vAlign w:val="center"/>
          </w:tcPr>
          <w:p w:rsidR="002D0824" w:rsidRPr="00AE0D77" w:rsidRDefault="002D0824" w:rsidP="002D0824">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1:6.8792</w:t>
            </w:r>
          </w:p>
        </w:tc>
        <w:tc>
          <w:tcPr>
            <w:tcW w:w="417"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1:6.8758</w:t>
            </w:r>
          </w:p>
        </w:tc>
        <w:tc>
          <w:tcPr>
            <w:tcW w:w="41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1:6.8096</w:t>
            </w:r>
          </w:p>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(6/20)</w:t>
            </w:r>
          </w:p>
        </w:tc>
        <w:tc>
          <w:tcPr>
            <w:tcW w:w="483" w:type="pct"/>
            <w:tcBorders>
              <w:top w:val="nil"/>
              <w:left w:val="nil"/>
              <w:bottom w:val="nil"/>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r>
      <w:tr w:rsidR="002D0824" w:rsidRPr="00AE0D77" w:rsidTr="002D0824">
        <w:trPr>
          <w:cantSplit/>
          <w:trHeight w:val="557"/>
          <w:jc w:val="center"/>
        </w:trPr>
        <w:tc>
          <w:tcPr>
            <w:tcW w:w="179" w:type="pct"/>
            <w:vMerge/>
            <w:tcBorders>
              <w:top w:val="single" w:sz="4" w:space="0" w:color="auto"/>
              <w:left w:val="nil"/>
              <w:bottom w:val="single" w:sz="4" w:space="0" w:color="auto"/>
              <w:right w:val="single" w:sz="4" w:space="0" w:color="auto"/>
            </w:tcBorders>
            <w:vAlign w:val="center"/>
          </w:tcPr>
          <w:p w:rsidR="002D0824" w:rsidRPr="00AE0D77" w:rsidRDefault="002D0824" w:rsidP="00FC4D38">
            <w:pPr>
              <w:snapToGrid w:val="0"/>
              <w:spacing w:line="300" w:lineRule="auto"/>
              <w:jc w:val="center"/>
              <w:rPr>
                <w:rFonts w:eastAsia="標楷體"/>
              </w:rPr>
            </w:pPr>
          </w:p>
        </w:tc>
        <w:tc>
          <w:tcPr>
            <w:tcW w:w="33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jc w:val="center"/>
              <w:rPr>
                <w:rFonts w:eastAsia="標楷體"/>
              </w:rPr>
            </w:pPr>
            <w:r w:rsidRPr="00AE0D77">
              <w:rPr>
                <w:rFonts w:eastAsia="標楷體"/>
              </w:rPr>
              <w:t>外匯準備</w:t>
            </w:r>
          </w:p>
        </w:tc>
        <w:tc>
          <w:tcPr>
            <w:tcW w:w="581" w:type="pct"/>
            <w:tcBorders>
              <w:top w:val="single" w:sz="4" w:space="0" w:color="auto"/>
              <w:left w:val="single" w:sz="4" w:space="0" w:color="auto"/>
              <w:bottom w:val="single" w:sz="4" w:space="0" w:color="auto"/>
              <w:right w:val="single" w:sz="4" w:space="0" w:color="auto"/>
            </w:tcBorders>
            <w:vAlign w:val="center"/>
          </w:tcPr>
          <w:p w:rsidR="002D0824" w:rsidRPr="00AE0D77" w:rsidRDefault="002D0824" w:rsidP="00FC4D38">
            <w:pPr>
              <w:snapToGrid w:val="0"/>
              <w:spacing w:line="240" w:lineRule="atLeast"/>
              <w:jc w:val="center"/>
              <w:rPr>
                <w:rFonts w:eastAsia="標楷體"/>
                <w:sz w:val="22"/>
              </w:rPr>
            </w:pPr>
            <w:r w:rsidRPr="00AE0D77">
              <w:rPr>
                <w:rFonts w:eastAsia="標楷體"/>
                <w:sz w:val="22"/>
              </w:rPr>
              <w:t>金額</w:t>
            </w:r>
          </w:p>
          <w:p w:rsidR="002D0824" w:rsidRPr="00AE0D77" w:rsidRDefault="002D0824" w:rsidP="00FC4D38">
            <w:pPr>
              <w:snapToGrid w:val="0"/>
              <w:spacing w:line="240" w:lineRule="atLeast"/>
              <w:jc w:val="center"/>
              <w:rPr>
                <w:rFonts w:eastAsia="標楷體"/>
                <w:sz w:val="22"/>
              </w:rPr>
            </w:pPr>
            <w:r w:rsidRPr="00AE0D77">
              <w:rPr>
                <w:rFonts w:eastAsia="標楷體"/>
                <w:sz w:val="22"/>
              </w:rPr>
              <w:t>（億美元）</w:t>
            </w:r>
          </w:p>
        </w:tc>
        <w:tc>
          <w:tcPr>
            <w:tcW w:w="420" w:type="pct"/>
            <w:tcBorders>
              <w:top w:val="nil"/>
              <w:left w:val="nil"/>
              <w:bottom w:val="single" w:sz="4" w:space="0" w:color="auto"/>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38,213</w:t>
            </w:r>
          </w:p>
        </w:tc>
        <w:tc>
          <w:tcPr>
            <w:tcW w:w="441" w:type="pct"/>
            <w:tcBorders>
              <w:top w:val="nil"/>
              <w:left w:val="nil"/>
              <w:bottom w:val="single" w:sz="4" w:space="0" w:color="auto"/>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32,126</w:t>
            </w:r>
          </w:p>
        </w:tc>
        <w:tc>
          <w:tcPr>
            <w:tcW w:w="441" w:type="pct"/>
            <w:tcBorders>
              <w:top w:val="nil"/>
              <w:left w:val="nil"/>
              <w:bottom w:val="single" w:sz="4" w:space="0" w:color="auto"/>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32,126</w:t>
            </w:r>
          </w:p>
        </w:tc>
        <w:tc>
          <w:tcPr>
            <w:tcW w:w="441" w:type="pct"/>
            <w:tcBorders>
              <w:top w:val="nil"/>
              <w:left w:val="nil"/>
              <w:bottom w:val="single" w:sz="4" w:space="0" w:color="auto"/>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32,126</w:t>
            </w:r>
          </w:p>
        </w:tc>
        <w:tc>
          <w:tcPr>
            <w:tcW w:w="441" w:type="pct"/>
            <w:tcBorders>
              <w:top w:val="nil"/>
              <w:left w:val="nil"/>
              <w:bottom w:val="single" w:sz="4" w:space="0" w:color="auto"/>
              <w:right w:val="nil"/>
            </w:tcBorders>
            <w:vAlign w:val="center"/>
          </w:tcPr>
          <w:p w:rsidR="002D0824" w:rsidRPr="00AE0D77" w:rsidRDefault="002D0824" w:rsidP="00FC4D38">
            <w:pPr>
              <w:adjustRightInd w:val="0"/>
              <w:snapToGrid w:val="0"/>
              <w:spacing w:before="100" w:beforeAutospacing="1" w:line="240" w:lineRule="exact"/>
              <w:contextualSpacing/>
              <w:jc w:val="center"/>
              <w:rPr>
                <w:rFonts w:eastAsia="標楷體"/>
                <w:sz w:val="22"/>
                <w:szCs w:val="22"/>
              </w:rPr>
            </w:pPr>
            <w:r w:rsidRPr="00AE0D77">
              <w:rPr>
                <w:rFonts w:eastAsia="標楷體"/>
                <w:sz w:val="22"/>
                <w:szCs w:val="22"/>
              </w:rPr>
              <w:t>30,105</w:t>
            </w:r>
          </w:p>
        </w:tc>
        <w:tc>
          <w:tcPr>
            <w:tcW w:w="413" w:type="pct"/>
            <w:tcBorders>
              <w:top w:val="nil"/>
              <w:left w:val="nil"/>
              <w:bottom w:val="single" w:sz="4" w:space="0" w:color="auto"/>
              <w:right w:val="nil"/>
            </w:tcBorders>
            <w:vAlign w:val="center"/>
          </w:tcPr>
          <w:p w:rsidR="002D0824" w:rsidRPr="00AE0D77" w:rsidRDefault="002D0824" w:rsidP="00FC4D38">
            <w:pPr>
              <w:snapToGrid w:val="0"/>
              <w:spacing w:before="100" w:beforeAutospacing="1" w:line="240" w:lineRule="exact"/>
              <w:jc w:val="center"/>
              <w:rPr>
                <w:rFonts w:eastAsia="標楷體"/>
                <w:sz w:val="22"/>
                <w:szCs w:val="22"/>
              </w:rPr>
            </w:pPr>
            <w:r w:rsidRPr="00AE0D77">
              <w:rPr>
                <w:rFonts w:eastAsia="標楷體"/>
                <w:sz w:val="22"/>
                <w:szCs w:val="22"/>
              </w:rPr>
              <w:t>30,090</w:t>
            </w:r>
          </w:p>
        </w:tc>
        <w:tc>
          <w:tcPr>
            <w:tcW w:w="417" w:type="pct"/>
            <w:tcBorders>
              <w:top w:val="nil"/>
              <w:left w:val="nil"/>
              <w:bottom w:val="single" w:sz="4" w:space="0" w:color="auto"/>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30,295</w:t>
            </w:r>
          </w:p>
        </w:tc>
        <w:tc>
          <w:tcPr>
            <w:tcW w:w="413" w:type="pct"/>
            <w:tcBorders>
              <w:top w:val="nil"/>
              <w:left w:val="nil"/>
              <w:bottom w:val="single" w:sz="4" w:space="0" w:color="auto"/>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30,535</w:t>
            </w:r>
          </w:p>
        </w:tc>
        <w:tc>
          <w:tcPr>
            <w:tcW w:w="483" w:type="pct"/>
            <w:tcBorders>
              <w:top w:val="nil"/>
              <w:left w:val="nil"/>
              <w:bottom w:val="single" w:sz="4" w:space="0" w:color="auto"/>
              <w:right w:val="nil"/>
            </w:tcBorders>
            <w:vAlign w:val="center"/>
          </w:tcPr>
          <w:p w:rsidR="002D0824" w:rsidRPr="00AE0D77" w:rsidRDefault="002D0824" w:rsidP="00FC4D38">
            <w:pPr>
              <w:snapToGrid w:val="0"/>
              <w:spacing w:line="240" w:lineRule="exact"/>
              <w:jc w:val="center"/>
              <w:rPr>
                <w:rFonts w:eastAsia="標楷體"/>
                <w:sz w:val="22"/>
                <w:szCs w:val="22"/>
              </w:rPr>
            </w:pPr>
            <w:r w:rsidRPr="00AE0D77">
              <w:rPr>
                <w:rFonts w:eastAsia="標楷體"/>
                <w:sz w:val="22"/>
                <w:szCs w:val="22"/>
              </w:rPr>
              <w:t>－</w:t>
            </w:r>
          </w:p>
        </w:tc>
      </w:tr>
    </w:tbl>
    <w:bookmarkEnd w:id="48"/>
    <w:p w:rsidR="002D0824" w:rsidRPr="00AE0D77" w:rsidRDefault="002D0824" w:rsidP="002D0824">
      <w:pPr>
        <w:widowControl/>
        <w:ind w:leftChars="-354" w:left="283" w:rightChars="-316" w:right="-758" w:hangingChars="515" w:hanging="1133"/>
        <w:rPr>
          <w:rFonts w:eastAsia="標楷體"/>
          <w:sz w:val="22"/>
          <w:szCs w:val="22"/>
        </w:rPr>
      </w:pPr>
      <w:r w:rsidRPr="00AE0D77">
        <w:rPr>
          <w:rFonts w:eastAsia="標楷體"/>
          <w:sz w:val="22"/>
          <w:szCs w:val="22"/>
        </w:rPr>
        <w:t>註：進出口數據僅公布最新月份及累計數據，無各月份調整後數據，因此有些微誤差。</w:t>
      </w:r>
    </w:p>
    <w:p w:rsidR="003E39BB" w:rsidRPr="00AE0D77" w:rsidRDefault="002D0824" w:rsidP="002D0824">
      <w:pPr>
        <w:widowControl/>
        <w:ind w:leftChars="-354" w:left="283" w:rightChars="-316" w:right="-758" w:hangingChars="515" w:hanging="1133"/>
        <w:rPr>
          <w:rFonts w:eastAsia="標楷體"/>
          <w:b/>
          <w:bCs/>
          <w:sz w:val="40"/>
          <w:szCs w:val="36"/>
        </w:rPr>
      </w:pPr>
      <w:r w:rsidRPr="00AE0D77">
        <w:rPr>
          <w:rFonts w:eastAsia="標楷體"/>
          <w:sz w:val="22"/>
          <w:szCs w:val="22"/>
        </w:rPr>
        <w:t>資料來源：中國大陸統計年鑑、中國大陸海關統計；中國大陸國家統計局、中國大陸人民銀行、中國大陸商務部。</w:t>
      </w:r>
      <w:r w:rsidR="003E39BB" w:rsidRPr="00AE0D77">
        <w:rPr>
          <w:rFonts w:eastAsia="標楷體"/>
          <w:b/>
          <w:bCs/>
          <w:sz w:val="40"/>
          <w:szCs w:val="36"/>
        </w:rPr>
        <w:br w:type="page"/>
      </w:r>
    </w:p>
    <w:p w:rsidR="001249DE" w:rsidRPr="00AE0D77" w:rsidRDefault="001249DE" w:rsidP="001249DE">
      <w:pPr>
        <w:pStyle w:val="2"/>
        <w:spacing w:after="360"/>
        <w:jc w:val="center"/>
        <w:rPr>
          <w:sz w:val="24"/>
        </w:rPr>
      </w:pPr>
      <w:bookmarkStart w:id="51" w:name="_Toc486347622"/>
      <w:bookmarkStart w:id="52" w:name="_Toc415126206"/>
      <w:bookmarkStart w:id="53" w:name="_Toc391906401"/>
      <w:bookmarkStart w:id="54" w:name="_Toc401923787"/>
      <w:bookmarkStart w:id="55" w:name="_Toc402171703"/>
      <w:r w:rsidRPr="00AE0D77">
        <w:rPr>
          <w:sz w:val="32"/>
        </w:rPr>
        <w:lastRenderedPageBreak/>
        <w:t>表</w:t>
      </w:r>
      <w:r w:rsidRPr="00AE0D77">
        <w:rPr>
          <w:sz w:val="32"/>
        </w:rPr>
        <w:t xml:space="preserve">5  </w:t>
      </w:r>
      <w:r w:rsidRPr="00AE0D77">
        <w:rPr>
          <w:sz w:val="32"/>
        </w:rPr>
        <w:t>兩岸經貿統計</w:t>
      </w:r>
      <w:bookmarkEnd w:id="51"/>
    </w:p>
    <w:tbl>
      <w:tblPr>
        <w:tblW w:w="11534" w:type="dxa"/>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2D0824" w:rsidRPr="00AE0D77" w:rsidTr="00FC4D38">
        <w:trPr>
          <w:cantSplit/>
          <w:trHeight w:val="629"/>
        </w:trPr>
        <w:tc>
          <w:tcPr>
            <w:tcW w:w="2258" w:type="dxa"/>
            <w:gridSpan w:val="3"/>
            <w:vMerge w:val="restart"/>
            <w:tcBorders>
              <w:left w:val="nil"/>
            </w:tcBorders>
            <w:shd w:val="clear" w:color="auto" w:fill="FFFFFF"/>
          </w:tcPr>
          <w:p w:rsidR="002D0824" w:rsidRPr="00AE0D77" w:rsidRDefault="002D0824" w:rsidP="00FC4D38">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2D0824" w:rsidRPr="00AE0D77" w:rsidRDefault="002D0824" w:rsidP="00FC4D38">
            <w:pPr>
              <w:snapToGrid w:val="0"/>
              <w:spacing w:before="120" w:after="120" w:line="280" w:lineRule="exact"/>
              <w:jc w:val="center"/>
              <w:rPr>
                <w:rFonts w:eastAsia="標楷體"/>
              </w:rPr>
            </w:pPr>
            <w:r w:rsidRPr="00AE0D77">
              <w:rPr>
                <w:rFonts w:eastAsia="標楷體"/>
              </w:rPr>
              <w:t>2012</w:t>
            </w:r>
            <w:r w:rsidRPr="00AE0D77">
              <w:rPr>
                <w:rFonts w:eastAsia="標楷體"/>
              </w:rPr>
              <w:t>年</w:t>
            </w:r>
          </w:p>
        </w:tc>
        <w:tc>
          <w:tcPr>
            <w:tcW w:w="1031" w:type="dxa"/>
            <w:vMerge w:val="restart"/>
            <w:tcBorders>
              <w:right w:val="nil"/>
            </w:tcBorders>
            <w:shd w:val="clear" w:color="auto" w:fill="FFFFFF"/>
            <w:vAlign w:val="center"/>
          </w:tcPr>
          <w:p w:rsidR="002D0824" w:rsidRPr="00AE0D77" w:rsidRDefault="002D0824" w:rsidP="00FC4D38">
            <w:pPr>
              <w:snapToGrid w:val="0"/>
              <w:spacing w:before="120" w:after="120" w:line="280" w:lineRule="exact"/>
              <w:jc w:val="center"/>
              <w:rPr>
                <w:rFonts w:eastAsia="標楷體"/>
              </w:rPr>
            </w:pPr>
            <w:r w:rsidRPr="00AE0D77">
              <w:rPr>
                <w:rFonts w:eastAsia="標楷體"/>
              </w:rPr>
              <w:t>2013</w:t>
            </w:r>
            <w:r w:rsidRPr="00AE0D77">
              <w:rPr>
                <w:rFonts w:eastAsia="標楷體"/>
              </w:rPr>
              <w:t>年</w:t>
            </w:r>
          </w:p>
        </w:tc>
        <w:tc>
          <w:tcPr>
            <w:tcW w:w="1031" w:type="dxa"/>
            <w:vMerge w:val="restart"/>
            <w:tcBorders>
              <w:right w:val="nil"/>
            </w:tcBorders>
            <w:shd w:val="clear" w:color="auto" w:fill="FFFFFF"/>
            <w:vAlign w:val="center"/>
          </w:tcPr>
          <w:p w:rsidR="002D0824" w:rsidRPr="00AE0D77" w:rsidRDefault="002D0824" w:rsidP="00FC4D38">
            <w:pPr>
              <w:snapToGrid w:val="0"/>
              <w:spacing w:before="120" w:after="120" w:line="280" w:lineRule="exact"/>
              <w:jc w:val="center"/>
              <w:rPr>
                <w:rFonts w:eastAsia="標楷體"/>
              </w:rPr>
            </w:pPr>
            <w:r w:rsidRPr="00AE0D77">
              <w:rPr>
                <w:rFonts w:eastAsia="標楷體"/>
              </w:rPr>
              <w:t>2014</w:t>
            </w:r>
            <w:r w:rsidRPr="00AE0D77">
              <w:rPr>
                <w:rFonts w:eastAsia="標楷體"/>
              </w:rPr>
              <w:t>年</w:t>
            </w:r>
          </w:p>
        </w:tc>
        <w:tc>
          <w:tcPr>
            <w:tcW w:w="1030" w:type="dxa"/>
            <w:vMerge w:val="restart"/>
            <w:tcBorders>
              <w:right w:val="nil"/>
            </w:tcBorders>
            <w:shd w:val="clear" w:color="auto" w:fill="FFFFFF"/>
            <w:vAlign w:val="center"/>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z w:val="26"/>
              </w:rPr>
              <w:t>2015</w:t>
            </w:r>
            <w:r w:rsidRPr="00AE0D77">
              <w:rPr>
                <w:rFonts w:eastAsia="標楷體"/>
                <w:spacing w:val="-16"/>
                <w:sz w:val="26"/>
              </w:rPr>
              <w:t>年</w:t>
            </w:r>
          </w:p>
        </w:tc>
        <w:tc>
          <w:tcPr>
            <w:tcW w:w="1031" w:type="dxa"/>
            <w:vMerge w:val="restart"/>
            <w:tcBorders>
              <w:right w:val="nil"/>
            </w:tcBorders>
            <w:shd w:val="clear" w:color="auto" w:fill="FFFFFF"/>
            <w:vAlign w:val="center"/>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pacing w:val="-16"/>
                <w:sz w:val="26"/>
              </w:rPr>
              <w:t>2016</w:t>
            </w:r>
            <w:r w:rsidRPr="00AE0D77">
              <w:rPr>
                <w:rFonts w:eastAsia="標楷體"/>
                <w:spacing w:val="-16"/>
                <w:sz w:val="26"/>
              </w:rPr>
              <w:t>年</w:t>
            </w:r>
          </w:p>
        </w:tc>
        <w:tc>
          <w:tcPr>
            <w:tcW w:w="4123" w:type="dxa"/>
            <w:gridSpan w:val="4"/>
            <w:tcBorders>
              <w:right w:val="nil"/>
            </w:tcBorders>
            <w:shd w:val="clear" w:color="auto" w:fill="FFFFFF"/>
            <w:vAlign w:val="center"/>
          </w:tcPr>
          <w:p w:rsidR="002D0824" w:rsidRPr="00AE0D77" w:rsidRDefault="002D0824" w:rsidP="00FC4D38">
            <w:pPr>
              <w:snapToGrid w:val="0"/>
              <w:spacing w:before="120" w:after="120" w:line="280" w:lineRule="exact"/>
              <w:ind w:rightChars="312" w:right="749"/>
              <w:jc w:val="center"/>
              <w:rPr>
                <w:rFonts w:eastAsia="標楷體"/>
                <w:spacing w:val="-16"/>
                <w:sz w:val="26"/>
              </w:rPr>
            </w:pPr>
            <w:r w:rsidRPr="00AE0D77">
              <w:rPr>
                <w:rFonts w:eastAsia="標楷體"/>
                <w:spacing w:val="-16"/>
                <w:sz w:val="26"/>
              </w:rPr>
              <w:t xml:space="preserve">         2017</w:t>
            </w:r>
            <w:r w:rsidRPr="00AE0D77">
              <w:rPr>
                <w:rFonts w:eastAsia="標楷體"/>
                <w:spacing w:val="-16"/>
                <w:sz w:val="26"/>
              </w:rPr>
              <w:t>年</w:t>
            </w:r>
          </w:p>
        </w:tc>
      </w:tr>
      <w:tr w:rsidR="002D0824" w:rsidRPr="00AE0D77" w:rsidTr="00FC4D38">
        <w:trPr>
          <w:cantSplit/>
          <w:trHeight w:val="493"/>
        </w:trPr>
        <w:tc>
          <w:tcPr>
            <w:tcW w:w="2258" w:type="dxa"/>
            <w:gridSpan w:val="3"/>
            <w:vMerge/>
            <w:tcBorders>
              <w:left w:val="nil"/>
              <w:bottom w:val="single" w:sz="4" w:space="0" w:color="auto"/>
            </w:tcBorders>
            <w:shd w:val="clear" w:color="auto" w:fill="FFFFFF"/>
          </w:tcPr>
          <w:p w:rsidR="002D0824" w:rsidRPr="00AE0D77" w:rsidRDefault="002D0824" w:rsidP="00FC4D38">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2D0824" w:rsidRPr="00AE0D77" w:rsidRDefault="002D0824" w:rsidP="00FC4D38">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D0824" w:rsidRPr="00AE0D77" w:rsidRDefault="002D0824" w:rsidP="00FC4D38">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D0824" w:rsidRPr="00AE0D77" w:rsidRDefault="002D0824" w:rsidP="00FC4D38">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2D0824" w:rsidRPr="00AE0D77" w:rsidRDefault="002D0824" w:rsidP="00FC4D38">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D0824" w:rsidRPr="00AE0D77" w:rsidRDefault="002D0824" w:rsidP="00FC4D38">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2D0824" w:rsidRPr="00AE0D77" w:rsidRDefault="002D0824" w:rsidP="00FC4D38">
            <w:pPr>
              <w:snapToGrid w:val="0"/>
              <w:spacing w:before="120" w:after="120" w:line="280" w:lineRule="exact"/>
              <w:jc w:val="center"/>
              <w:rPr>
                <w:rFonts w:eastAsia="標楷體"/>
              </w:rPr>
            </w:pPr>
            <w:r w:rsidRPr="00AE0D77">
              <w:rPr>
                <w:rFonts w:eastAsia="標楷體"/>
              </w:rPr>
              <w:t>3</w:t>
            </w:r>
            <w:r w:rsidRPr="00AE0D77">
              <w:rPr>
                <w:rFonts w:eastAsia="標楷體"/>
              </w:rPr>
              <w:t>月</w:t>
            </w:r>
          </w:p>
        </w:tc>
        <w:tc>
          <w:tcPr>
            <w:tcW w:w="1030" w:type="dxa"/>
            <w:tcBorders>
              <w:bottom w:val="single" w:sz="4" w:space="0" w:color="auto"/>
            </w:tcBorders>
            <w:shd w:val="clear" w:color="auto" w:fill="FFFFFF"/>
          </w:tcPr>
          <w:p w:rsidR="002D0824" w:rsidRPr="00AE0D77" w:rsidRDefault="002D0824" w:rsidP="00FC4D38">
            <w:pPr>
              <w:snapToGrid w:val="0"/>
              <w:spacing w:before="120" w:after="120" w:line="280" w:lineRule="exact"/>
              <w:jc w:val="center"/>
              <w:rPr>
                <w:rFonts w:eastAsia="標楷體"/>
              </w:rPr>
            </w:pPr>
            <w:r w:rsidRPr="00AE0D77">
              <w:rPr>
                <w:rFonts w:eastAsia="標楷體"/>
              </w:rPr>
              <w:t>4</w:t>
            </w:r>
            <w:r w:rsidRPr="00AE0D77">
              <w:rPr>
                <w:rFonts w:eastAsia="標楷體"/>
              </w:rPr>
              <w:t>月</w:t>
            </w:r>
          </w:p>
        </w:tc>
        <w:tc>
          <w:tcPr>
            <w:tcW w:w="1031" w:type="dxa"/>
            <w:tcBorders>
              <w:bottom w:val="single" w:sz="4" w:space="0" w:color="auto"/>
            </w:tcBorders>
            <w:shd w:val="clear" w:color="auto" w:fill="FFFFFF"/>
          </w:tcPr>
          <w:p w:rsidR="002D0824" w:rsidRPr="00AE0D77" w:rsidRDefault="002D0824" w:rsidP="00FC4D38">
            <w:pPr>
              <w:snapToGrid w:val="0"/>
              <w:spacing w:before="120" w:after="120" w:line="280" w:lineRule="exact"/>
              <w:jc w:val="center"/>
              <w:rPr>
                <w:rFonts w:eastAsia="標楷體"/>
              </w:rPr>
            </w:pPr>
            <w:r w:rsidRPr="00AE0D77">
              <w:rPr>
                <w:rFonts w:eastAsia="標楷體"/>
              </w:rPr>
              <w:t>5</w:t>
            </w:r>
            <w:r w:rsidRPr="00AE0D77">
              <w:rPr>
                <w:rFonts w:eastAsia="標楷體"/>
              </w:rPr>
              <w:t>月</w:t>
            </w:r>
          </w:p>
        </w:tc>
        <w:tc>
          <w:tcPr>
            <w:tcW w:w="1031" w:type="dxa"/>
            <w:tcBorders>
              <w:bottom w:val="single" w:sz="4" w:space="0" w:color="auto"/>
              <w:right w:val="nil"/>
            </w:tcBorders>
            <w:shd w:val="clear" w:color="auto" w:fill="FFFFFF"/>
          </w:tcPr>
          <w:p w:rsidR="002D0824" w:rsidRPr="00AE0D77" w:rsidRDefault="002D0824" w:rsidP="00FC4D38">
            <w:pPr>
              <w:snapToGrid w:val="0"/>
              <w:spacing w:before="120" w:after="120" w:line="280" w:lineRule="exact"/>
              <w:jc w:val="center"/>
              <w:rPr>
                <w:rFonts w:eastAsia="標楷體"/>
              </w:rPr>
            </w:pPr>
            <w:r w:rsidRPr="00AE0D77">
              <w:rPr>
                <w:rFonts w:eastAsia="標楷體"/>
              </w:rPr>
              <w:t>1~5</w:t>
            </w:r>
            <w:r w:rsidRPr="00AE0D77">
              <w:rPr>
                <w:rFonts w:eastAsia="標楷體"/>
              </w:rPr>
              <w:t>月</w:t>
            </w:r>
          </w:p>
        </w:tc>
      </w:tr>
      <w:tr w:rsidR="002D0824" w:rsidRPr="00AE0D77" w:rsidTr="00FC4D38">
        <w:trPr>
          <w:cantSplit/>
          <w:trHeight w:val="828"/>
        </w:trPr>
        <w:tc>
          <w:tcPr>
            <w:tcW w:w="616" w:type="dxa"/>
            <w:vMerge w:val="restart"/>
            <w:tcBorders>
              <w:left w:val="nil"/>
            </w:tcBorders>
          </w:tcPr>
          <w:p w:rsidR="002D0824" w:rsidRPr="00AE0D77" w:rsidRDefault="002D0824" w:rsidP="00FC4D38">
            <w:pPr>
              <w:snapToGrid w:val="0"/>
              <w:spacing w:before="240"/>
              <w:jc w:val="center"/>
              <w:rPr>
                <w:rFonts w:eastAsia="標楷體"/>
                <w:sz w:val="28"/>
              </w:rPr>
            </w:pPr>
          </w:p>
          <w:p w:rsidR="002D0824" w:rsidRPr="00AE0D77" w:rsidRDefault="002D0824" w:rsidP="00FC4D38">
            <w:pPr>
              <w:snapToGrid w:val="0"/>
              <w:spacing w:before="240"/>
              <w:jc w:val="center"/>
              <w:rPr>
                <w:rFonts w:eastAsia="標楷體"/>
                <w:sz w:val="28"/>
              </w:rPr>
            </w:pPr>
            <w:r w:rsidRPr="00AE0D77">
              <w:rPr>
                <w:rFonts w:eastAsia="標楷體"/>
                <w:sz w:val="28"/>
              </w:rPr>
              <w:t>兩</w:t>
            </w:r>
          </w:p>
          <w:p w:rsidR="002D0824" w:rsidRPr="00AE0D77" w:rsidRDefault="002D0824" w:rsidP="00FC4D38">
            <w:pPr>
              <w:snapToGrid w:val="0"/>
              <w:spacing w:before="240"/>
              <w:jc w:val="center"/>
              <w:rPr>
                <w:rFonts w:eastAsia="標楷體"/>
                <w:sz w:val="28"/>
              </w:rPr>
            </w:pPr>
            <w:r w:rsidRPr="00AE0D77">
              <w:rPr>
                <w:rFonts w:eastAsia="標楷體"/>
                <w:sz w:val="28"/>
              </w:rPr>
              <w:t>岸</w:t>
            </w:r>
          </w:p>
          <w:p w:rsidR="002D0824" w:rsidRPr="00AE0D77" w:rsidRDefault="002D0824" w:rsidP="00FC4D38">
            <w:pPr>
              <w:snapToGrid w:val="0"/>
              <w:spacing w:before="240"/>
              <w:jc w:val="center"/>
              <w:rPr>
                <w:rFonts w:eastAsia="標楷體"/>
                <w:sz w:val="28"/>
              </w:rPr>
            </w:pPr>
            <w:r w:rsidRPr="00AE0D77">
              <w:rPr>
                <w:rFonts w:eastAsia="標楷體"/>
                <w:sz w:val="28"/>
              </w:rPr>
              <w:t>投</w:t>
            </w:r>
          </w:p>
          <w:p w:rsidR="002D0824" w:rsidRPr="00AE0D77" w:rsidRDefault="002D0824" w:rsidP="00FC4D38">
            <w:pPr>
              <w:snapToGrid w:val="0"/>
              <w:spacing w:before="240"/>
              <w:jc w:val="center"/>
              <w:rPr>
                <w:rFonts w:eastAsia="標楷體"/>
                <w:sz w:val="28"/>
              </w:rPr>
            </w:pPr>
            <w:r w:rsidRPr="00AE0D77">
              <w:rPr>
                <w:rFonts w:eastAsia="標楷體"/>
                <w:sz w:val="28"/>
              </w:rPr>
              <w:t>資</w:t>
            </w:r>
          </w:p>
        </w:tc>
        <w:tc>
          <w:tcPr>
            <w:tcW w:w="758" w:type="dxa"/>
            <w:vMerge w:val="restart"/>
            <w:vAlign w:val="center"/>
          </w:tcPr>
          <w:p w:rsidR="002D0824" w:rsidRPr="00AE0D77" w:rsidRDefault="002D0824" w:rsidP="00FC4D38">
            <w:pPr>
              <w:snapToGrid w:val="0"/>
              <w:spacing w:before="120" w:after="120" w:line="320" w:lineRule="exact"/>
              <w:jc w:val="center"/>
              <w:rPr>
                <w:rFonts w:eastAsia="標楷體"/>
                <w:spacing w:val="-16"/>
                <w:sz w:val="26"/>
              </w:rPr>
            </w:pPr>
            <w:r w:rsidRPr="00AE0D77">
              <w:rPr>
                <w:rFonts w:eastAsia="標楷體"/>
                <w:sz w:val="28"/>
              </w:rPr>
              <w:t>我對中國大陸投資</w:t>
            </w:r>
          </w:p>
        </w:tc>
        <w:tc>
          <w:tcPr>
            <w:tcW w:w="884" w:type="dxa"/>
          </w:tcPr>
          <w:p w:rsidR="002D0824" w:rsidRPr="00AE0D77" w:rsidRDefault="002D0824" w:rsidP="00FC4D38">
            <w:pPr>
              <w:snapToGrid w:val="0"/>
              <w:spacing w:before="120" w:after="120" w:line="320" w:lineRule="exact"/>
              <w:jc w:val="center"/>
              <w:rPr>
                <w:rFonts w:eastAsia="標楷體"/>
                <w:spacing w:val="-16"/>
                <w:sz w:val="26"/>
              </w:rPr>
            </w:pPr>
            <w:r w:rsidRPr="00AE0D77">
              <w:rPr>
                <w:rFonts w:eastAsia="標楷體"/>
                <w:spacing w:val="-16"/>
                <w:sz w:val="26"/>
              </w:rPr>
              <w:t>件數</w:t>
            </w:r>
            <w:r w:rsidRPr="00AE0D77">
              <w:rPr>
                <w:rFonts w:eastAsia="標楷體"/>
                <w:spacing w:val="-16"/>
                <w:sz w:val="26"/>
              </w:rPr>
              <w:br/>
            </w:r>
            <w:r w:rsidRPr="00AE0D77">
              <w:rPr>
                <w:rFonts w:eastAsia="標楷體"/>
                <w:spacing w:val="-16"/>
              </w:rPr>
              <w:t>(</w:t>
            </w:r>
            <w:r w:rsidRPr="00AE0D77">
              <w:rPr>
                <w:rFonts w:eastAsia="標楷體"/>
                <w:spacing w:val="-16"/>
              </w:rPr>
              <w:t>件</w:t>
            </w:r>
            <w:r w:rsidRPr="00AE0D77">
              <w:rPr>
                <w:rFonts w:eastAsia="標楷體"/>
                <w:spacing w:val="-16"/>
              </w:rPr>
              <w:t>)</w:t>
            </w:r>
          </w:p>
        </w:tc>
        <w:tc>
          <w:tcPr>
            <w:tcW w:w="1030" w:type="dxa"/>
            <w:tcBorders>
              <w:top w:val="single" w:sz="4" w:space="0" w:color="auto"/>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636</w:t>
            </w:r>
          </w:p>
        </w:tc>
        <w:tc>
          <w:tcPr>
            <w:tcW w:w="1031" w:type="dxa"/>
            <w:tcBorders>
              <w:top w:val="single" w:sz="4" w:space="0" w:color="auto"/>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554</w:t>
            </w:r>
          </w:p>
        </w:tc>
        <w:tc>
          <w:tcPr>
            <w:tcW w:w="1031" w:type="dxa"/>
            <w:tcBorders>
              <w:top w:val="single" w:sz="4" w:space="0" w:color="auto"/>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497</w:t>
            </w:r>
          </w:p>
        </w:tc>
        <w:tc>
          <w:tcPr>
            <w:tcW w:w="1030" w:type="dxa"/>
            <w:tcBorders>
              <w:top w:val="single" w:sz="4" w:space="0" w:color="auto"/>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427</w:t>
            </w:r>
          </w:p>
        </w:tc>
        <w:tc>
          <w:tcPr>
            <w:tcW w:w="1031" w:type="dxa"/>
            <w:tcBorders>
              <w:top w:val="single" w:sz="4" w:space="0" w:color="auto"/>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323</w:t>
            </w:r>
          </w:p>
        </w:tc>
        <w:tc>
          <w:tcPr>
            <w:tcW w:w="1031" w:type="dxa"/>
            <w:tcBorders>
              <w:top w:val="single" w:sz="4" w:space="0" w:color="auto"/>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65</w:t>
            </w:r>
          </w:p>
        </w:tc>
        <w:tc>
          <w:tcPr>
            <w:tcW w:w="1030" w:type="dxa"/>
            <w:tcBorders>
              <w:top w:val="single" w:sz="4" w:space="0" w:color="auto"/>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48</w:t>
            </w:r>
          </w:p>
        </w:tc>
        <w:tc>
          <w:tcPr>
            <w:tcW w:w="1031" w:type="dxa"/>
            <w:tcBorders>
              <w:top w:val="single" w:sz="4" w:space="0" w:color="auto"/>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48</w:t>
            </w:r>
          </w:p>
        </w:tc>
        <w:tc>
          <w:tcPr>
            <w:tcW w:w="1031" w:type="dxa"/>
            <w:tcBorders>
              <w:top w:val="single" w:sz="4" w:space="0" w:color="auto"/>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253</w:t>
            </w:r>
          </w:p>
        </w:tc>
      </w:tr>
      <w:tr w:rsidR="002D0824" w:rsidRPr="00AE0D77" w:rsidTr="00FC4D38">
        <w:trPr>
          <w:cantSplit/>
          <w:trHeight w:val="786"/>
        </w:trPr>
        <w:tc>
          <w:tcPr>
            <w:tcW w:w="616" w:type="dxa"/>
            <w:vMerge/>
            <w:tcBorders>
              <w:left w:val="nil"/>
            </w:tcBorders>
          </w:tcPr>
          <w:p w:rsidR="002D0824" w:rsidRPr="00AE0D77" w:rsidRDefault="002D0824" w:rsidP="00FC4D38">
            <w:pPr>
              <w:snapToGrid w:val="0"/>
              <w:spacing w:before="120" w:after="120" w:line="320" w:lineRule="exact"/>
              <w:rPr>
                <w:rFonts w:eastAsia="標楷體"/>
                <w:b/>
                <w:sz w:val="28"/>
              </w:rPr>
            </w:pPr>
          </w:p>
        </w:tc>
        <w:tc>
          <w:tcPr>
            <w:tcW w:w="758" w:type="dxa"/>
            <w:vMerge/>
          </w:tcPr>
          <w:p w:rsidR="002D0824" w:rsidRPr="00AE0D77" w:rsidRDefault="002D0824" w:rsidP="00FC4D38">
            <w:pPr>
              <w:snapToGrid w:val="0"/>
              <w:spacing w:before="120" w:after="120" w:line="320" w:lineRule="exact"/>
              <w:jc w:val="center"/>
              <w:rPr>
                <w:rFonts w:eastAsia="標楷體"/>
                <w:spacing w:val="-16"/>
                <w:sz w:val="26"/>
              </w:rPr>
            </w:pPr>
          </w:p>
        </w:tc>
        <w:tc>
          <w:tcPr>
            <w:tcW w:w="884" w:type="dxa"/>
          </w:tcPr>
          <w:p w:rsidR="002D0824" w:rsidRPr="00AE0D77" w:rsidRDefault="002D0824" w:rsidP="00FC4D38">
            <w:pPr>
              <w:snapToGrid w:val="0"/>
              <w:spacing w:before="120" w:after="120" w:line="320" w:lineRule="exact"/>
              <w:jc w:val="center"/>
              <w:rPr>
                <w:rFonts w:eastAsia="標楷體"/>
                <w:spacing w:val="-16"/>
                <w:sz w:val="26"/>
              </w:rPr>
            </w:pPr>
            <w:r w:rsidRPr="00AE0D77">
              <w:rPr>
                <w:rFonts w:eastAsia="標楷體"/>
                <w:sz w:val="28"/>
              </w:rPr>
              <w:t>金額</w:t>
            </w:r>
            <w:r w:rsidRPr="00AE0D77">
              <w:rPr>
                <w:rFonts w:eastAsia="標楷體"/>
                <w:spacing w:val="-16"/>
                <w:sz w:val="26"/>
              </w:rPr>
              <w:br/>
            </w:r>
            <w:r w:rsidRPr="00AE0D77">
              <w:rPr>
                <w:rFonts w:eastAsia="標楷體"/>
                <w:spacing w:val="-16"/>
              </w:rPr>
              <w:t>(</w:t>
            </w:r>
            <w:r w:rsidRPr="00AE0D77">
              <w:rPr>
                <w:rFonts w:eastAsia="標楷體"/>
                <w:spacing w:val="-16"/>
              </w:rPr>
              <w:t>億美元</w:t>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FC4D38">
            <w:pPr>
              <w:snapToGrid w:val="0"/>
              <w:spacing w:before="60" w:line="400" w:lineRule="exact"/>
              <w:ind w:rightChars="-2" w:right="-5"/>
              <w:jc w:val="center"/>
              <w:rPr>
                <w:rFonts w:eastAsia="標楷體"/>
              </w:rPr>
            </w:pPr>
            <w:r w:rsidRPr="00AE0D77">
              <w:rPr>
                <w:rFonts w:eastAsia="標楷體"/>
              </w:rPr>
              <w:t>127.9</w:t>
            </w:r>
          </w:p>
          <w:p w:rsidR="002D0824" w:rsidRPr="00AE0D77" w:rsidRDefault="002D0824" w:rsidP="00FC4D38">
            <w:pPr>
              <w:snapToGrid w:val="0"/>
              <w:spacing w:after="60" w:line="400" w:lineRule="exact"/>
              <w:jc w:val="center"/>
              <w:rPr>
                <w:rFonts w:eastAsia="標楷體"/>
              </w:rPr>
            </w:pPr>
            <w:r w:rsidRPr="00AE0D77">
              <w:rPr>
                <w:rFonts w:eastAsia="標楷體"/>
                <w:sz w:val="16"/>
              </w:rPr>
              <w:t>（</w:t>
            </w:r>
            <w:r w:rsidRPr="00AE0D77">
              <w:rPr>
                <w:rFonts w:eastAsia="標楷體"/>
                <w:sz w:val="16"/>
              </w:rPr>
              <w:t>-17.0%</w:t>
            </w:r>
            <w:r w:rsidRPr="00AE0D77">
              <w:rPr>
                <w:rFonts w:eastAsia="標楷體"/>
                <w:sz w:val="16"/>
              </w:rPr>
              <w:t>）</w:t>
            </w:r>
          </w:p>
        </w:tc>
        <w:tc>
          <w:tcPr>
            <w:tcW w:w="1031" w:type="dxa"/>
            <w:tcBorders>
              <w:top w:val="nil"/>
              <w:left w:val="nil"/>
              <w:bottom w:val="nil"/>
              <w:right w:val="nil"/>
            </w:tcBorders>
            <w:vAlign w:val="center"/>
          </w:tcPr>
          <w:p w:rsidR="002D0824" w:rsidRPr="00AE0D77" w:rsidRDefault="002D0824" w:rsidP="00FC4D38">
            <w:pPr>
              <w:snapToGrid w:val="0"/>
              <w:spacing w:before="60" w:line="400" w:lineRule="exact"/>
              <w:ind w:rightChars="-2" w:right="-5"/>
              <w:jc w:val="center"/>
              <w:rPr>
                <w:rFonts w:eastAsia="標楷體"/>
              </w:rPr>
            </w:pPr>
            <w:r w:rsidRPr="00AE0D77">
              <w:rPr>
                <w:rFonts w:eastAsia="標楷體"/>
              </w:rPr>
              <w:t>91.9</w:t>
            </w:r>
          </w:p>
          <w:p w:rsidR="002D0824" w:rsidRPr="00AE0D77" w:rsidRDefault="002D0824" w:rsidP="00FC4D38">
            <w:pPr>
              <w:snapToGrid w:val="0"/>
              <w:spacing w:after="60" w:line="400" w:lineRule="exact"/>
              <w:jc w:val="center"/>
              <w:rPr>
                <w:rFonts w:eastAsia="標楷體"/>
              </w:rPr>
            </w:pPr>
            <w:r w:rsidRPr="00AE0D77">
              <w:rPr>
                <w:rFonts w:eastAsia="標楷體"/>
                <w:sz w:val="16"/>
              </w:rPr>
              <w:t>（</w:t>
            </w:r>
            <w:r w:rsidRPr="00AE0D77">
              <w:rPr>
                <w:rFonts w:eastAsia="標楷體"/>
                <w:sz w:val="16"/>
              </w:rPr>
              <w:t>-21.0%</w:t>
            </w:r>
            <w:r w:rsidRPr="00AE0D77">
              <w:rPr>
                <w:rFonts w:eastAsia="標楷體"/>
                <w:sz w:val="16"/>
              </w:rPr>
              <w:t>）</w:t>
            </w:r>
          </w:p>
        </w:tc>
        <w:tc>
          <w:tcPr>
            <w:tcW w:w="1031" w:type="dxa"/>
            <w:tcBorders>
              <w:top w:val="nil"/>
              <w:left w:val="nil"/>
              <w:bottom w:val="nil"/>
              <w:right w:val="nil"/>
            </w:tcBorders>
            <w:vAlign w:val="center"/>
          </w:tcPr>
          <w:p w:rsidR="002D0824" w:rsidRPr="00AE0D77" w:rsidRDefault="002D0824" w:rsidP="00FC4D38">
            <w:pPr>
              <w:snapToGrid w:val="0"/>
              <w:spacing w:before="60" w:line="400" w:lineRule="exact"/>
              <w:ind w:rightChars="-2" w:right="-5"/>
              <w:jc w:val="center"/>
              <w:rPr>
                <w:rFonts w:eastAsia="標楷體"/>
              </w:rPr>
            </w:pPr>
            <w:r w:rsidRPr="00AE0D77">
              <w:rPr>
                <w:rFonts w:eastAsia="標楷體"/>
              </w:rPr>
              <w:t>102.8</w:t>
            </w:r>
          </w:p>
          <w:p w:rsidR="002D0824" w:rsidRPr="00AE0D77" w:rsidRDefault="002D0824" w:rsidP="00FC4D38">
            <w:pPr>
              <w:snapToGrid w:val="0"/>
              <w:spacing w:after="60" w:line="400" w:lineRule="exact"/>
              <w:jc w:val="center"/>
              <w:rPr>
                <w:rFonts w:eastAsia="標楷體"/>
              </w:rPr>
            </w:pPr>
            <w:r w:rsidRPr="00AE0D77">
              <w:rPr>
                <w:rFonts w:eastAsia="標楷體"/>
                <w:sz w:val="16"/>
              </w:rPr>
              <w:t>（</w:t>
            </w:r>
            <w:r w:rsidRPr="00AE0D77">
              <w:rPr>
                <w:rFonts w:eastAsia="標楷體"/>
                <w:sz w:val="16"/>
              </w:rPr>
              <w:t>11.8%</w:t>
            </w:r>
            <w:r w:rsidRPr="00AE0D77">
              <w:rPr>
                <w:rFonts w:eastAsia="標楷體"/>
                <w:sz w:val="16"/>
              </w:rPr>
              <w:t>）</w:t>
            </w:r>
          </w:p>
        </w:tc>
        <w:tc>
          <w:tcPr>
            <w:tcW w:w="1030" w:type="dxa"/>
            <w:tcBorders>
              <w:top w:val="nil"/>
              <w:left w:val="nil"/>
              <w:bottom w:val="nil"/>
              <w:right w:val="nil"/>
            </w:tcBorders>
            <w:vAlign w:val="center"/>
          </w:tcPr>
          <w:p w:rsidR="002D0824" w:rsidRPr="00AE0D77" w:rsidRDefault="002D0824" w:rsidP="00FC4D38">
            <w:pPr>
              <w:snapToGrid w:val="0"/>
              <w:spacing w:before="60" w:line="400" w:lineRule="exact"/>
              <w:ind w:rightChars="-2" w:right="-5"/>
              <w:jc w:val="center"/>
              <w:rPr>
                <w:rFonts w:eastAsia="標楷體"/>
              </w:rPr>
            </w:pPr>
            <w:r w:rsidRPr="00AE0D77">
              <w:rPr>
                <w:rFonts w:eastAsia="標楷體"/>
              </w:rPr>
              <w:t>109.7</w:t>
            </w:r>
          </w:p>
          <w:p w:rsidR="002D0824" w:rsidRPr="00AE0D77" w:rsidRDefault="002D0824" w:rsidP="00FC4D38">
            <w:pPr>
              <w:snapToGrid w:val="0"/>
              <w:spacing w:after="60" w:line="400" w:lineRule="exact"/>
              <w:jc w:val="center"/>
              <w:rPr>
                <w:rFonts w:eastAsia="標楷體"/>
              </w:rPr>
            </w:pPr>
            <w:r w:rsidRPr="00AE0D77">
              <w:rPr>
                <w:rFonts w:eastAsia="標楷體"/>
                <w:sz w:val="16"/>
              </w:rPr>
              <w:t>（</w:t>
            </w:r>
            <w:r w:rsidRPr="00AE0D77">
              <w:rPr>
                <w:rFonts w:eastAsia="標楷體"/>
                <w:sz w:val="16"/>
              </w:rPr>
              <w:t>6.7%</w:t>
            </w:r>
            <w:r w:rsidRPr="00AE0D77">
              <w:rPr>
                <w:rFonts w:eastAsia="標楷體"/>
                <w:sz w:val="16"/>
              </w:rPr>
              <w:t>）</w:t>
            </w:r>
          </w:p>
        </w:tc>
        <w:tc>
          <w:tcPr>
            <w:tcW w:w="1031" w:type="dxa"/>
            <w:tcBorders>
              <w:top w:val="nil"/>
              <w:left w:val="nil"/>
              <w:bottom w:val="nil"/>
              <w:right w:val="nil"/>
            </w:tcBorders>
            <w:vAlign w:val="center"/>
          </w:tcPr>
          <w:p w:rsidR="002D0824" w:rsidRPr="00AE0D77" w:rsidRDefault="002D0824" w:rsidP="00FC4D38">
            <w:pPr>
              <w:snapToGrid w:val="0"/>
              <w:spacing w:before="60" w:line="400" w:lineRule="exact"/>
              <w:ind w:rightChars="-2" w:right="-5"/>
              <w:jc w:val="center"/>
              <w:rPr>
                <w:rFonts w:eastAsia="標楷體"/>
              </w:rPr>
            </w:pPr>
            <w:r w:rsidRPr="00AE0D77">
              <w:rPr>
                <w:rFonts w:eastAsia="標楷體"/>
              </w:rPr>
              <w:t>96.7</w:t>
            </w:r>
          </w:p>
          <w:p w:rsidR="002D0824" w:rsidRPr="00AE0D77" w:rsidRDefault="002D0824" w:rsidP="00FC4D38">
            <w:pPr>
              <w:snapToGrid w:val="0"/>
              <w:spacing w:after="60" w:line="400" w:lineRule="exact"/>
              <w:jc w:val="center"/>
              <w:rPr>
                <w:rFonts w:eastAsia="標楷體"/>
              </w:rPr>
            </w:pPr>
            <w:r w:rsidRPr="00AE0D77">
              <w:rPr>
                <w:rFonts w:eastAsia="標楷體"/>
                <w:sz w:val="16"/>
              </w:rPr>
              <w:t>（</w:t>
            </w:r>
            <w:r w:rsidRPr="00AE0D77">
              <w:rPr>
                <w:rFonts w:eastAsia="標楷體"/>
                <w:sz w:val="16"/>
              </w:rPr>
              <w:t>-11.8%</w:t>
            </w:r>
            <w:r w:rsidRPr="00AE0D77">
              <w:rPr>
                <w:rFonts w:eastAsia="標楷體"/>
                <w:sz w:val="16"/>
              </w:rPr>
              <w:t>）</w:t>
            </w:r>
          </w:p>
        </w:tc>
        <w:tc>
          <w:tcPr>
            <w:tcW w:w="1031" w:type="dxa"/>
            <w:tcBorders>
              <w:top w:val="nil"/>
              <w:left w:val="nil"/>
              <w:bottom w:val="nil"/>
              <w:right w:val="nil"/>
            </w:tcBorders>
            <w:vAlign w:val="center"/>
          </w:tcPr>
          <w:p w:rsidR="002D0824" w:rsidRPr="00AE0D77" w:rsidRDefault="002D0824" w:rsidP="00FC4D38">
            <w:pPr>
              <w:snapToGrid w:val="0"/>
              <w:spacing w:before="60" w:line="400" w:lineRule="exact"/>
              <w:ind w:rightChars="-2" w:right="-5"/>
              <w:jc w:val="center"/>
              <w:rPr>
                <w:rFonts w:eastAsia="標楷體"/>
              </w:rPr>
            </w:pPr>
            <w:r w:rsidRPr="00AE0D77">
              <w:rPr>
                <w:rFonts w:eastAsia="標楷體"/>
              </w:rPr>
              <w:t>8.5</w:t>
            </w:r>
          </w:p>
          <w:p w:rsidR="002D0824" w:rsidRPr="00AE0D77" w:rsidRDefault="002D0824" w:rsidP="00FC4D38">
            <w:pPr>
              <w:snapToGrid w:val="0"/>
              <w:spacing w:after="60" w:line="400" w:lineRule="exact"/>
              <w:jc w:val="center"/>
              <w:rPr>
                <w:rFonts w:eastAsia="標楷體"/>
              </w:rPr>
            </w:pPr>
            <w:r w:rsidRPr="00AE0D77">
              <w:rPr>
                <w:rFonts w:eastAsia="標楷體"/>
                <w:sz w:val="16"/>
              </w:rPr>
              <w:t>（</w:t>
            </w:r>
            <w:r w:rsidRPr="00AE0D77">
              <w:rPr>
                <w:rFonts w:eastAsia="標楷體"/>
                <w:sz w:val="16"/>
              </w:rPr>
              <w:t>30.1%</w:t>
            </w:r>
            <w:r w:rsidRPr="00AE0D77">
              <w:rPr>
                <w:rFonts w:eastAsia="標楷體"/>
                <w:sz w:val="16"/>
              </w:rPr>
              <w:t>）</w:t>
            </w:r>
          </w:p>
        </w:tc>
        <w:tc>
          <w:tcPr>
            <w:tcW w:w="1030" w:type="dxa"/>
            <w:tcBorders>
              <w:top w:val="nil"/>
              <w:left w:val="nil"/>
              <w:bottom w:val="nil"/>
              <w:right w:val="nil"/>
            </w:tcBorders>
            <w:vAlign w:val="center"/>
          </w:tcPr>
          <w:p w:rsidR="002D0824" w:rsidRPr="00AE0D77" w:rsidRDefault="002D0824" w:rsidP="00FC4D38">
            <w:pPr>
              <w:snapToGrid w:val="0"/>
              <w:spacing w:before="60" w:line="400" w:lineRule="exact"/>
              <w:ind w:rightChars="-2" w:right="-5"/>
              <w:jc w:val="center"/>
              <w:rPr>
                <w:rFonts w:eastAsia="標楷體"/>
              </w:rPr>
            </w:pPr>
            <w:r w:rsidRPr="00AE0D77">
              <w:rPr>
                <w:rFonts w:eastAsia="標楷體"/>
              </w:rPr>
              <w:t>3.9</w:t>
            </w:r>
          </w:p>
          <w:p w:rsidR="002D0824" w:rsidRPr="00AE0D77" w:rsidRDefault="002D0824" w:rsidP="00FC4D38">
            <w:pPr>
              <w:snapToGrid w:val="0"/>
              <w:spacing w:after="60" w:line="400" w:lineRule="exact"/>
              <w:jc w:val="center"/>
              <w:rPr>
                <w:rFonts w:eastAsia="標楷體"/>
              </w:rPr>
            </w:pPr>
            <w:r w:rsidRPr="00AE0D77">
              <w:rPr>
                <w:rFonts w:eastAsia="標楷體"/>
                <w:sz w:val="16"/>
              </w:rPr>
              <w:t>（</w:t>
            </w:r>
            <w:r w:rsidRPr="00AE0D77">
              <w:rPr>
                <w:rFonts w:eastAsia="標楷體"/>
                <w:sz w:val="16"/>
              </w:rPr>
              <w:t>-28.9%</w:t>
            </w:r>
            <w:r w:rsidRPr="00AE0D77">
              <w:rPr>
                <w:rFonts w:eastAsia="標楷體"/>
                <w:sz w:val="16"/>
              </w:rPr>
              <w:t>）</w:t>
            </w:r>
          </w:p>
        </w:tc>
        <w:tc>
          <w:tcPr>
            <w:tcW w:w="1031" w:type="dxa"/>
            <w:tcBorders>
              <w:top w:val="nil"/>
              <w:left w:val="nil"/>
              <w:bottom w:val="nil"/>
              <w:right w:val="nil"/>
            </w:tcBorders>
            <w:vAlign w:val="center"/>
          </w:tcPr>
          <w:p w:rsidR="002D0824" w:rsidRPr="00AE0D77" w:rsidRDefault="002D0824" w:rsidP="00FC4D38">
            <w:pPr>
              <w:snapToGrid w:val="0"/>
              <w:spacing w:before="60" w:line="400" w:lineRule="exact"/>
              <w:ind w:rightChars="-2" w:right="-5"/>
              <w:jc w:val="center"/>
              <w:rPr>
                <w:rFonts w:eastAsia="標楷體"/>
              </w:rPr>
            </w:pPr>
            <w:r w:rsidRPr="00AE0D77">
              <w:rPr>
                <w:rFonts w:eastAsia="標楷體"/>
              </w:rPr>
              <w:t>3.1</w:t>
            </w:r>
          </w:p>
          <w:p w:rsidR="002D0824" w:rsidRPr="00AE0D77" w:rsidRDefault="002D0824" w:rsidP="00FC4D38">
            <w:pPr>
              <w:snapToGrid w:val="0"/>
              <w:spacing w:after="60" w:line="400" w:lineRule="exact"/>
              <w:jc w:val="center"/>
              <w:rPr>
                <w:rFonts w:eastAsia="標楷體"/>
              </w:rPr>
            </w:pPr>
            <w:r w:rsidRPr="00AE0D77">
              <w:rPr>
                <w:rFonts w:eastAsia="標楷體"/>
                <w:sz w:val="16"/>
              </w:rPr>
              <w:t>（</w:t>
            </w:r>
            <w:r w:rsidRPr="00AE0D77">
              <w:rPr>
                <w:rFonts w:eastAsia="標楷體"/>
                <w:sz w:val="16"/>
              </w:rPr>
              <w:t>-20.6%</w:t>
            </w:r>
            <w:r w:rsidRPr="00AE0D77">
              <w:rPr>
                <w:rFonts w:eastAsia="標楷體"/>
                <w:sz w:val="16"/>
              </w:rPr>
              <w:t>）</w:t>
            </w:r>
          </w:p>
        </w:tc>
        <w:tc>
          <w:tcPr>
            <w:tcW w:w="1031" w:type="dxa"/>
            <w:tcBorders>
              <w:top w:val="nil"/>
              <w:left w:val="nil"/>
              <w:bottom w:val="nil"/>
              <w:right w:val="nil"/>
            </w:tcBorders>
            <w:vAlign w:val="center"/>
          </w:tcPr>
          <w:p w:rsidR="002D0824" w:rsidRPr="00AE0D77" w:rsidRDefault="002D0824" w:rsidP="00FC4D38">
            <w:pPr>
              <w:snapToGrid w:val="0"/>
              <w:spacing w:before="60" w:line="400" w:lineRule="exact"/>
              <w:ind w:rightChars="-2" w:right="-5"/>
              <w:jc w:val="center"/>
              <w:rPr>
                <w:rFonts w:eastAsia="標楷體"/>
              </w:rPr>
            </w:pPr>
            <w:r w:rsidRPr="00AE0D77">
              <w:rPr>
                <w:rFonts w:eastAsia="標楷體"/>
              </w:rPr>
              <w:t>27.9</w:t>
            </w:r>
          </w:p>
          <w:p w:rsidR="002D0824" w:rsidRPr="00AE0D77" w:rsidRDefault="002D0824" w:rsidP="00FC4D38">
            <w:pPr>
              <w:snapToGrid w:val="0"/>
              <w:spacing w:after="60" w:line="400" w:lineRule="exact"/>
              <w:jc w:val="center"/>
              <w:rPr>
                <w:rFonts w:eastAsia="標楷體"/>
              </w:rPr>
            </w:pPr>
            <w:r w:rsidRPr="00AE0D77">
              <w:rPr>
                <w:rFonts w:eastAsia="標楷體"/>
                <w:sz w:val="16"/>
              </w:rPr>
              <w:t>（</w:t>
            </w:r>
            <w:r w:rsidRPr="00AE0D77">
              <w:rPr>
                <w:rFonts w:eastAsia="標楷體"/>
                <w:sz w:val="16"/>
              </w:rPr>
              <w:t>-22.1%</w:t>
            </w:r>
            <w:r w:rsidRPr="00AE0D77">
              <w:rPr>
                <w:rFonts w:eastAsia="標楷體"/>
                <w:sz w:val="16"/>
              </w:rPr>
              <w:t>）</w:t>
            </w:r>
          </w:p>
        </w:tc>
      </w:tr>
      <w:tr w:rsidR="002D0824" w:rsidRPr="00AE0D77" w:rsidTr="00FC4D38">
        <w:trPr>
          <w:cantSplit/>
          <w:trHeight w:val="786"/>
        </w:trPr>
        <w:tc>
          <w:tcPr>
            <w:tcW w:w="616" w:type="dxa"/>
            <w:vMerge/>
            <w:tcBorders>
              <w:left w:val="nil"/>
            </w:tcBorders>
          </w:tcPr>
          <w:p w:rsidR="002D0824" w:rsidRPr="00AE0D77" w:rsidRDefault="002D0824" w:rsidP="00FC4D38">
            <w:pPr>
              <w:snapToGrid w:val="0"/>
              <w:spacing w:before="240"/>
              <w:jc w:val="center"/>
              <w:rPr>
                <w:rFonts w:eastAsia="標楷體"/>
                <w:sz w:val="28"/>
              </w:rPr>
            </w:pPr>
          </w:p>
        </w:tc>
        <w:tc>
          <w:tcPr>
            <w:tcW w:w="758" w:type="dxa"/>
            <w:vMerge w:val="restart"/>
            <w:vAlign w:val="center"/>
          </w:tcPr>
          <w:p w:rsidR="002D0824" w:rsidRPr="00AE0D77" w:rsidRDefault="002D0824" w:rsidP="00FC4D38">
            <w:pPr>
              <w:snapToGrid w:val="0"/>
              <w:spacing w:before="120" w:after="120" w:line="320" w:lineRule="exact"/>
              <w:jc w:val="center"/>
              <w:rPr>
                <w:rFonts w:eastAsia="標楷體"/>
                <w:spacing w:val="-16"/>
                <w:sz w:val="26"/>
              </w:rPr>
            </w:pPr>
            <w:r w:rsidRPr="00AE0D77">
              <w:rPr>
                <w:rFonts w:eastAsia="標楷體"/>
                <w:sz w:val="28"/>
              </w:rPr>
              <w:t>陸資來臺投資</w:t>
            </w:r>
          </w:p>
        </w:tc>
        <w:tc>
          <w:tcPr>
            <w:tcW w:w="884" w:type="dxa"/>
          </w:tcPr>
          <w:p w:rsidR="002D0824" w:rsidRPr="00AE0D77" w:rsidRDefault="002D0824" w:rsidP="00FC4D38">
            <w:pPr>
              <w:snapToGrid w:val="0"/>
              <w:spacing w:before="120" w:after="120" w:line="320" w:lineRule="exact"/>
              <w:jc w:val="center"/>
              <w:rPr>
                <w:rFonts w:eastAsia="標楷體"/>
                <w:spacing w:val="-16"/>
                <w:sz w:val="26"/>
              </w:rPr>
            </w:pPr>
            <w:r w:rsidRPr="00AE0D77">
              <w:rPr>
                <w:rFonts w:eastAsia="標楷體"/>
                <w:spacing w:val="-16"/>
                <w:sz w:val="26"/>
              </w:rPr>
              <w:t>件數</w:t>
            </w:r>
            <w:r w:rsidRPr="00AE0D77">
              <w:rPr>
                <w:rFonts w:eastAsia="標楷體"/>
                <w:spacing w:val="-16"/>
                <w:sz w:val="26"/>
              </w:rPr>
              <w:br/>
            </w:r>
            <w:r w:rsidRPr="00AE0D77">
              <w:rPr>
                <w:rFonts w:eastAsia="標楷體"/>
                <w:spacing w:val="-16"/>
              </w:rPr>
              <w:t>(</w:t>
            </w:r>
            <w:r w:rsidRPr="00AE0D77">
              <w:rPr>
                <w:rFonts w:eastAsia="標楷體"/>
                <w:spacing w:val="-16"/>
              </w:rPr>
              <w:t>件</w:t>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138</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138</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136</w:t>
            </w:r>
          </w:p>
        </w:tc>
        <w:tc>
          <w:tcPr>
            <w:tcW w:w="1030"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170</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158</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11</w:t>
            </w:r>
          </w:p>
        </w:tc>
        <w:tc>
          <w:tcPr>
            <w:tcW w:w="1030"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8</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9</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55</w:t>
            </w:r>
          </w:p>
        </w:tc>
      </w:tr>
      <w:tr w:rsidR="002D0824" w:rsidRPr="00AE0D77" w:rsidTr="00FC4D38">
        <w:trPr>
          <w:cantSplit/>
          <w:trHeight w:val="786"/>
        </w:trPr>
        <w:tc>
          <w:tcPr>
            <w:tcW w:w="616" w:type="dxa"/>
            <w:vMerge/>
            <w:tcBorders>
              <w:left w:val="nil"/>
            </w:tcBorders>
          </w:tcPr>
          <w:p w:rsidR="002D0824" w:rsidRPr="00AE0D77" w:rsidRDefault="002D0824" w:rsidP="00FC4D38">
            <w:pPr>
              <w:snapToGrid w:val="0"/>
              <w:spacing w:before="120" w:after="120" w:line="320" w:lineRule="exact"/>
              <w:rPr>
                <w:rFonts w:eastAsia="標楷體"/>
                <w:b/>
                <w:sz w:val="28"/>
              </w:rPr>
            </w:pPr>
          </w:p>
        </w:tc>
        <w:tc>
          <w:tcPr>
            <w:tcW w:w="758" w:type="dxa"/>
            <w:vMerge/>
          </w:tcPr>
          <w:p w:rsidR="002D0824" w:rsidRPr="00AE0D77" w:rsidRDefault="002D0824" w:rsidP="00FC4D38">
            <w:pPr>
              <w:snapToGrid w:val="0"/>
              <w:spacing w:before="120" w:after="120" w:line="320" w:lineRule="exact"/>
              <w:jc w:val="center"/>
              <w:rPr>
                <w:rFonts w:eastAsia="標楷體"/>
                <w:spacing w:val="-16"/>
                <w:sz w:val="26"/>
              </w:rPr>
            </w:pPr>
          </w:p>
        </w:tc>
        <w:tc>
          <w:tcPr>
            <w:tcW w:w="884" w:type="dxa"/>
          </w:tcPr>
          <w:p w:rsidR="002D0824" w:rsidRPr="00AE0D77" w:rsidRDefault="002D0824" w:rsidP="00FC4D38">
            <w:pPr>
              <w:snapToGrid w:val="0"/>
              <w:spacing w:before="120" w:after="120" w:line="320" w:lineRule="exact"/>
              <w:jc w:val="center"/>
              <w:rPr>
                <w:rFonts w:eastAsia="標楷體"/>
                <w:spacing w:val="-16"/>
                <w:sz w:val="26"/>
              </w:rPr>
            </w:pPr>
            <w:r w:rsidRPr="00AE0D77">
              <w:rPr>
                <w:rFonts w:eastAsia="標楷體"/>
                <w:sz w:val="28"/>
              </w:rPr>
              <w:t>金額</w:t>
            </w:r>
            <w:r w:rsidRPr="00AE0D77">
              <w:rPr>
                <w:rFonts w:eastAsia="標楷體"/>
                <w:spacing w:val="-16"/>
                <w:sz w:val="26"/>
              </w:rPr>
              <w:br/>
            </w:r>
            <w:r w:rsidRPr="00AE0D77">
              <w:rPr>
                <w:rFonts w:eastAsia="標楷體"/>
                <w:spacing w:val="-16"/>
              </w:rPr>
              <w:t>(</w:t>
            </w:r>
            <w:r w:rsidRPr="00AE0D77">
              <w:rPr>
                <w:rFonts w:eastAsia="標楷體"/>
                <w:spacing w:val="-16"/>
              </w:rPr>
              <w:t>萬美元</w:t>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33,158.3</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34,947.9</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33,463.1</w:t>
            </w:r>
          </w:p>
        </w:tc>
        <w:tc>
          <w:tcPr>
            <w:tcW w:w="1030"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24,406.7</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24,762.</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1,877.8</w:t>
            </w:r>
          </w:p>
        </w:tc>
        <w:tc>
          <w:tcPr>
            <w:tcW w:w="1030"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66.8</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8,919.7</w:t>
            </w:r>
          </w:p>
        </w:tc>
        <w:tc>
          <w:tcPr>
            <w:tcW w:w="1031" w:type="dxa"/>
            <w:tcBorders>
              <w:top w:val="nil"/>
              <w:left w:val="nil"/>
              <w:bottom w:val="nil"/>
              <w:right w:val="nil"/>
            </w:tcBorders>
            <w:vAlign w:val="center"/>
          </w:tcPr>
          <w:p w:rsidR="002D0824" w:rsidRPr="00AE0D77" w:rsidRDefault="002D0824" w:rsidP="00FC4D38">
            <w:pPr>
              <w:snapToGrid w:val="0"/>
              <w:spacing w:before="60" w:after="60" w:line="400" w:lineRule="exact"/>
              <w:ind w:rightChars="-2" w:right="-5"/>
              <w:jc w:val="center"/>
              <w:rPr>
                <w:rFonts w:eastAsia="標楷體"/>
              </w:rPr>
            </w:pPr>
            <w:r w:rsidRPr="00AE0D77">
              <w:rPr>
                <w:rFonts w:eastAsia="標楷體"/>
              </w:rPr>
              <w:t>14,356.6</w:t>
            </w:r>
          </w:p>
        </w:tc>
      </w:tr>
      <w:tr w:rsidR="002D0824" w:rsidRPr="00AE0D77" w:rsidTr="00FC4D38">
        <w:trPr>
          <w:cantSplit/>
          <w:trHeight w:hRule="exact" w:val="760"/>
        </w:trPr>
        <w:tc>
          <w:tcPr>
            <w:tcW w:w="616" w:type="dxa"/>
            <w:vMerge w:val="restart"/>
            <w:tcBorders>
              <w:left w:val="nil"/>
            </w:tcBorders>
          </w:tcPr>
          <w:p w:rsidR="002D0824" w:rsidRPr="00AE0D77" w:rsidRDefault="002D0824" w:rsidP="00FC4D38">
            <w:pPr>
              <w:snapToGrid w:val="0"/>
              <w:spacing w:before="840"/>
              <w:jc w:val="center"/>
              <w:rPr>
                <w:rFonts w:eastAsia="標楷體"/>
                <w:sz w:val="28"/>
              </w:rPr>
            </w:pPr>
          </w:p>
          <w:p w:rsidR="002D0824" w:rsidRPr="00AE0D77" w:rsidRDefault="002D0824" w:rsidP="00FC4D38">
            <w:pPr>
              <w:snapToGrid w:val="0"/>
              <w:spacing w:before="360"/>
              <w:jc w:val="center"/>
              <w:rPr>
                <w:rFonts w:eastAsia="標楷體"/>
                <w:sz w:val="28"/>
              </w:rPr>
            </w:pPr>
            <w:r w:rsidRPr="00AE0D77">
              <w:rPr>
                <w:rFonts w:eastAsia="標楷體"/>
                <w:sz w:val="28"/>
              </w:rPr>
              <w:t>兩</w:t>
            </w:r>
            <w:r w:rsidRPr="00AE0D77">
              <w:rPr>
                <w:rFonts w:eastAsia="標楷體"/>
                <w:sz w:val="28"/>
              </w:rPr>
              <w:br/>
            </w:r>
            <w:r w:rsidRPr="00AE0D77">
              <w:rPr>
                <w:rFonts w:eastAsia="標楷體"/>
                <w:sz w:val="28"/>
              </w:rPr>
              <w:br/>
            </w:r>
            <w:r w:rsidRPr="00AE0D77">
              <w:rPr>
                <w:rFonts w:eastAsia="標楷體"/>
                <w:sz w:val="28"/>
              </w:rPr>
              <w:t>岸</w:t>
            </w:r>
            <w:r w:rsidRPr="00AE0D77">
              <w:rPr>
                <w:rFonts w:eastAsia="標楷體"/>
                <w:sz w:val="28"/>
              </w:rPr>
              <w:br/>
            </w:r>
            <w:r w:rsidRPr="00AE0D77">
              <w:rPr>
                <w:rFonts w:eastAsia="標楷體"/>
                <w:sz w:val="28"/>
              </w:rPr>
              <w:br/>
            </w:r>
            <w:r w:rsidRPr="00AE0D77">
              <w:rPr>
                <w:rFonts w:eastAsia="標楷體"/>
                <w:sz w:val="28"/>
              </w:rPr>
              <w:t>貿</w:t>
            </w:r>
            <w:r w:rsidRPr="00AE0D77">
              <w:rPr>
                <w:rFonts w:eastAsia="標楷體"/>
                <w:sz w:val="28"/>
              </w:rPr>
              <w:br/>
            </w:r>
            <w:r w:rsidRPr="00AE0D77">
              <w:rPr>
                <w:rFonts w:eastAsia="標楷體"/>
                <w:sz w:val="28"/>
              </w:rPr>
              <w:br/>
            </w:r>
            <w:r w:rsidRPr="00AE0D77">
              <w:rPr>
                <w:rFonts w:eastAsia="標楷體"/>
                <w:sz w:val="28"/>
              </w:rPr>
              <w:t>易</w:t>
            </w:r>
          </w:p>
        </w:tc>
        <w:tc>
          <w:tcPr>
            <w:tcW w:w="758" w:type="dxa"/>
            <w:vMerge w:val="restart"/>
          </w:tcPr>
          <w:p w:rsidR="002D0824" w:rsidRPr="00AE0D77" w:rsidRDefault="002D0824" w:rsidP="00FC4D38">
            <w:pPr>
              <w:snapToGrid w:val="0"/>
              <w:spacing w:line="280" w:lineRule="exact"/>
              <w:jc w:val="center"/>
              <w:rPr>
                <w:rFonts w:eastAsia="標楷體"/>
              </w:rPr>
            </w:pPr>
          </w:p>
          <w:p w:rsidR="002D0824" w:rsidRPr="00AE0D77" w:rsidRDefault="002D0824" w:rsidP="00FC4D38">
            <w:pPr>
              <w:snapToGrid w:val="0"/>
              <w:spacing w:line="280" w:lineRule="exact"/>
              <w:jc w:val="center"/>
              <w:rPr>
                <w:rFonts w:eastAsia="標楷體"/>
              </w:rPr>
            </w:pPr>
            <w:r w:rsidRPr="00AE0D77">
              <w:rPr>
                <w:rFonts w:eastAsia="標楷體"/>
              </w:rPr>
              <w:t>我對中國大陸</w:t>
            </w:r>
            <w:r w:rsidRPr="00AE0D77">
              <w:rPr>
                <w:rFonts w:eastAsia="標楷體"/>
              </w:rPr>
              <w:t>(</w:t>
            </w:r>
            <w:r w:rsidRPr="00AE0D77">
              <w:rPr>
                <w:rFonts w:eastAsia="標楷體"/>
              </w:rPr>
              <w:t>含香港</w:t>
            </w:r>
            <w:r w:rsidRPr="00AE0D77">
              <w:rPr>
                <w:rFonts w:eastAsia="標楷體"/>
              </w:rPr>
              <w:t>)</w:t>
            </w:r>
            <w:r w:rsidRPr="00AE0D77">
              <w:rPr>
                <w:rFonts w:eastAsia="標楷體"/>
              </w:rPr>
              <w:t>出口</w:t>
            </w:r>
          </w:p>
        </w:tc>
        <w:tc>
          <w:tcPr>
            <w:tcW w:w="884" w:type="dxa"/>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pacing w:val="-16"/>
                <w:sz w:val="26"/>
              </w:rPr>
              <w:t>金額</w:t>
            </w:r>
            <w:r w:rsidRPr="00AE0D77">
              <w:rPr>
                <w:rFonts w:eastAsia="標楷體"/>
                <w:spacing w:val="-16"/>
                <w:sz w:val="26"/>
              </w:rPr>
              <w:br/>
            </w:r>
            <w:r w:rsidRPr="00AE0D77">
              <w:rPr>
                <w:rFonts w:eastAsia="標楷體"/>
                <w:spacing w:val="-16"/>
              </w:rPr>
              <w:t>(</w:t>
            </w:r>
            <w:r w:rsidRPr="00AE0D77">
              <w:rPr>
                <w:rFonts w:eastAsia="標楷體"/>
                <w:spacing w:val="-16"/>
              </w:rPr>
              <w:t>億美元</w:t>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jc w:val="center"/>
              <w:rPr>
                <w:rFonts w:eastAsia="標楷體"/>
              </w:rPr>
            </w:pPr>
            <w:r w:rsidRPr="00AE0D77">
              <w:rPr>
                <w:rFonts w:eastAsia="標楷體"/>
              </w:rPr>
              <w:t>1,211.6</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jc w:val="center"/>
              <w:rPr>
                <w:rFonts w:eastAsia="標楷體"/>
              </w:rPr>
            </w:pPr>
            <w:r w:rsidRPr="00AE0D77">
              <w:rPr>
                <w:rFonts w:eastAsia="標楷體"/>
              </w:rPr>
              <w:t>1,253.1</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jc w:val="center"/>
              <w:rPr>
                <w:rFonts w:eastAsia="標楷體"/>
              </w:rPr>
            </w:pPr>
            <w:r w:rsidRPr="00AE0D77">
              <w:rPr>
                <w:rFonts w:eastAsia="標楷體"/>
              </w:rPr>
              <w:t>1,285.3</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jc w:val="center"/>
              <w:rPr>
                <w:rFonts w:eastAsia="標楷體"/>
              </w:rPr>
            </w:pPr>
            <w:r w:rsidRPr="00AE0D77">
              <w:rPr>
                <w:rFonts w:eastAsia="標楷體"/>
              </w:rPr>
              <w:t>1,125.4</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jc w:val="center"/>
              <w:rPr>
                <w:rFonts w:eastAsia="標楷體"/>
              </w:rPr>
            </w:pPr>
            <w:r w:rsidRPr="00AE0D77">
              <w:rPr>
                <w:rFonts w:eastAsia="標楷體"/>
              </w:rPr>
              <w:t>1,123.0</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jc w:val="center"/>
              <w:rPr>
                <w:rFonts w:eastAsia="標楷體"/>
              </w:rPr>
            </w:pPr>
            <w:r w:rsidRPr="00AE0D77">
              <w:rPr>
                <w:rFonts w:eastAsia="標楷體"/>
              </w:rPr>
              <w:t>102.7</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jc w:val="center"/>
              <w:rPr>
                <w:rFonts w:eastAsia="標楷體"/>
              </w:rPr>
            </w:pPr>
            <w:r w:rsidRPr="00AE0D77">
              <w:rPr>
                <w:rFonts w:eastAsia="標楷體"/>
              </w:rPr>
              <w:t>96.1</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jc w:val="center"/>
              <w:rPr>
                <w:rFonts w:eastAsia="標楷體"/>
              </w:rPr>
            </w:pPr>
            <w:r w:rsidRPr="00AE0D77">
              <w:rPr>
                <w:rFonts w:eastAsia="標楷體"/>
              </w:rPr>
              <w:t>99.4</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jc w:val="center"/>
              <w:rPr>
                <w:rFonts w:eastAsia="標楷體"/>
              </w:rPr>
            </w:pPr>
            <w:r w:rsidRPr="00AE0D77">
              <w:rPr>
                <w:rFonts w:eastAsia="標楷體"/>
              </w:rPr>
              <w:t>483.6</w:t>
            </w:r>
          </w:p>
        </w:tc>
      </w:tr>
      <w:tr w:rsidR="002D0824" w:rsidRPr="00AE0D77" w:rsidTr="00FC4D38">
        <w:trPr>
          <w:cantSplit/>
          <w:trHeight w:hRule="exact" w:val="760"/>
        </w:trPr>
        <w:tc>
          <w:tcPr>
            <w:tcW w:w="616" w:type="dxa"/>
            <w:vMerge/>
            <w:tcBorders>
              <w:left w:val="nil"/>
            </w:tcBorders>
          </w:tcPr>
          <w:p w:rsidR="002D0824" w:rsidRPr="00AE0D77" w:rsidRDefault="002D0824" w:rsidP="00FC4D38">
            <w:pPr>
              <w:snapToGrid w:val="0"/>
              <w:spacing w:before="120" w:after="120" w:line="320" w:lineRule="exact"/>
              <w:rPr>
                <w:rFonts w:eastAsia="標楷體"/>
                <w:sz w:val="28"/>
              </w:rPr>
            </w:pPr>
          </w:p>
        </w:tc>
        <w:tc>
          <w:tcPr>
            <w:tcW w:w="758" w:type="dxa"/>
            <w:vMerge/>
          </w:tcPr>
          <w:p w:rsidR="002D0824" w:rsidRPr="00AE0D77" w:rsidRDefault="002D0824" w:rsidP="00FC4D38">
            <w:pPr>
              <w:snapToGrid w:val="0"/>
              <w:spacing w:before="120" w:after="120" w:line="320" w:lineRule="exact"/>
              <w:jc w:val="center"/>
              <w:rPr>
                <w:rFonts w:eastAsia="標楷體"/>
              </w:rPr>
            </w:pPr>
          </w:p>
        </w:tc>
        <w:tc>
          <w:tcPr>
            <w:tcW w:w="884" w:type="dxa"/>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pacing w:val="-16"/>
                <w:sz w:val="26"/>
              </w:rPr>
              <w:t>年增率</w:t>
            </w:r>
            <w:r w:rsidRPr="00AE0D77">
              <w:rPr>
                <w:rFonts w:eastAsia="標楷體"/>
                <w:spacing w:val="-16"/>
                <w:sz w:val="26"/>
              </w:rPr>
              <w:br/>
            </w:r>
            <w:r w:rsidRPr="00AE0D77">
              <w:rPr>
                <w:rFonts w:eastAsia="標楷體"/>
                <w:spacing w:val="-16"/>
              </w:rPr>
              <w:t>(</w:t>
            </w:r>
            <w:r w:rsidRPr="00AE0D77">
              <w:rPr>
                <w:rFonts w:eastAsia="標楷體"/>
                <w:spacing w:val="-16"/>
              </w:rPr>
              <w:t>％</w:t>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-3.8</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3.4</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2.6</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-12.4</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-0.2</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16.8</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10.3</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6.4</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16.0</w:t>
            </w:r>
          </w:p>
        </w:tc>
      </w:tr>
      <w:tr w:rsidR="002D0824" w:rsidRPr="00AE0D77" w:rsidTr="00FC4D38">
        <w:trPr>
          <w:cantSplit/>
          <w:trHeight w:hRule="exact" w:val="760"/>
        </w:trPr>
        <w:tc>
          <w:tcPr>
            <w:tcW w:w="616" w:type="dxa"/>
            <w:vMerge/>
            <w:tcBorders>
              <w:left w:val="nil"/>
            </w:tcBorders>
          </w:tcPr>
          <w:p w:rsidR="002D0824" w:rsidRPr="00AE0D77" w:rsidRDefault="002D0824" w:rsidP="00FC4D38">
            <w:pPr>
              <w:snapToGrid w:val="0"/>
              <w:spacing w:before="120" w:after="120" w:line="320" w:lineRule="exact"/>
              <w:rPr>
                <w:rFonts w:eastAsia="標楷體"/>
                <w:sz w:val="28"/>
              </w:rPr>
            </w:pPr>
          </w:p>
        </w:tc>
        <w:tc>
          <w:tcPr>
            <w:tcW w:w="758" w:type="dxa"/>
            <w:vMerge/>
          </w:tcPr>
          <w:p w:rsidR="002D0824" w:rsidRPr="00AE0D77" w:rsidRDefault="002D0824" w:rsidP="00FC4D38">
            <w:pPr>
              <w:snapToGrid w:val="0"/>
              <w:spacing w:before="120" w:after="120" w:line="320" w:lineRule="exact"/>
              <w:jc w:val="center"/>
              <w:rPr>
                <w:rFonts w:eastAsia="標楷體"/>
              </w:rPr>
            </w:pPr>
          </w:p>
        </w:tc>
        <w:tc>
          <w:tcPr>
            <w:tcW w:w="884" w:type="dxa"/>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pacing w:val="-16"/>
                <w:sz w:val="26"/>
              </w:rPr>
              <w:t>比重</w:t>
            </w:r>
            <w:r w:rsidRPr="00AE0D77">
              <w:rPr>
                <w:rFonts w:eastAsia="標楷體"/>
                <w:spacing w:val="-16"/>
                <w:sz w:val="26"/>
              </w:rPr>
              <w:br/>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39.5</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40.2</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40.2</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39.4</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40.0</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39.9</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39.5</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39.0</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39.7</w:t>
            </w:r>
          </w:p>
        </w:tc>
      </w:tr>
      <w:tr w:rsidR="002D0824" w:rsidRPr="00AE0D77" w:rsidTr="00FC4D38">
        <w:trPr>
          <w:cantSplit/>
          <w:trHeight w:hRule="exact" w:val="760"/>
        </w:trPr>
        <w:tc>
          <w:tcPr>
            <w:tcW w:w="616" w:type="dxa"/>
            <w:vMerge/>
            <w:tcBorders>
              <w:left w:val="nil"/>
            </w:tcBorders>
          </w:tcPr>
          <w:p w:rsidR="002D0824" w:rsidRPr="00AE0D77" w:rsidRDefault="002D0824" w:rsidP="00FC4D38">
            <w:pPr>
              <w:snapToGrid w:val="0"/>
              <w:spacing w:before="120" w:after="120" w:line="320" w:lineRule="exact"/>
              <w:rPr>
                <w:rFonts w:eastAsia="標楷體"/>
                <w:sz w:val="28"/>
              </w:rPr>
            </w:pPr>
          </w:p>
        </w:tc>
        <w:tc>
          <w:tcPr>
            <w:tcW w:w="758" w:type="dxa"/>
            <w:vMerge w:val="restart"/>
          </w:tcPr>
          <w:p w:rsidR="002D0824" w:rsidRPr="00AE0D77" w:rsidRDefault="002D0824" w:rsidP="00FC4D38">
            <w:pPr>
              <w:snapToGrid w:val="0"/>
              <w:spacing w:line="280" w:lineRule="exact"/>
              <w:jc w:val="center"/>
              <w:rPr>
                <w:rFonts w:eastAsia="標楷體"/>
              </w:rPr>
            </w:pPr>
          </w:p>
          <w:p w:rsidR="002D0824" w:rsidRPr="00AE0D77" w:rsidRDefault="002D0824" w:rsidP="00FC4D38">
            <w:pPr>
              <w:snapToGrid w:val="0"/>
              <w:spacing w:line="280" w:lineRule="exact"/>
              <w:jc w:val="center"/>
              <w:rPr>
                <w:rFonts w:eastAsia="標楷體"/>
              </w:rPr>
            </w:pPr>
            <w:r w:rsidRPr="00AE0D77">
              <w:rPr>
                <w:rFonts w:eastAsia="標楷體"/>
              </w:rPr>
              <w:t>我自中國大陸</w:t>
            </w:r>
            <w:r w:rsidRPr="00AE0D77">
              <w:rPr>
                <w:rFonts w:eastAsia="標楷體"/>
              </w:rPr>
              <w:t>(</w:t>
            </w:r>
            <w:r w:rsidRPr="00AE0D77">
              <w:rPr>
                <w:rFonts w:eastAsia="標楷體"/>
              </w:rPr>
              <w:t>含香港</w:t>
            </w:r>
            <w:r w:rsidRPr="00AE0D77">
              <w:rPr>
                <w:rFonts w:eastAsia="標楷體"/>
              </w:rPr>
              <w:t>)</w:t>
            </w:r>
            <w:r w:rsidRPr="00AE0D77">
              <w:rPr>
                <w:rFonts w:eastAsia="標楷體"/>
              </w:rPr>
              <w:t>進口</w:t>
            </w:r>
          </w:p>
        </w:tc>
        <w:tc>
          <w:tcPr>
            <w:tcW w:w="884" w:type="dxa"/>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pacing w:val="-16"/>
                <w:sz w:val="26"/>
              </w:rPr>
              <w:t>金額</w:t>
            </w:r>
            <w:r w:rsidRPr="00AE0D77">
              <w:rPr>
                <w:rFonts w:eastAsia="標楷體"/>
                <w:spacing w:val="-16"/>
                <w:sz w:val="26"/>
              </w:rPr>
              <w:br/>
            </w:r>
            <w:r w:rsidRPr="00AE0D77">
              <w:rPr>
                <w:rFonts w:eastAsia="標楷體"/>
                <w:spacing w:val="-16"/>
              </w:rPr>
              <w:t>(</w:t>
            </w:r>
            <w:r w:rsidRPr="00AE0D77">
              <w:rPr>
                <w:rFonts w:eastAsia="標楷體"/>
                <w:spacing w:val="-16"/>
              </w:rPr>
              <w:t>億美元</w:t>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440.2</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449.3</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509.9</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467.3</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453.3</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43.3</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40.1</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44.6</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198.8</w:t>
            </w:r>
          </w:p>
        </w:tc>
      </w:tr>
      <w:tr w:rsidR="002D0824" w:rsidRPr="00AE0D77" w:rsidTr="00FC4D38">
        <w:trPr>
          <w:cantSplit/>
          <w:trHeight w:hRule="exact" w:val="760"/>
        </w:trPr>
        <w:tc>
          <w:tcPr>
            <w:tcW w:w="616" w:type="dxa"/>
            <w:vMerge/>
            <w:tcBorders>
              <w:left w:val="nil"/>
            </w:tcBorders>
          </w:tcPr>
          <w:p w:rsidR="002D0824" w:rsidRPr="00AE0D77" w:rsidRDefault="002D0824" w:rsidP="00FC4D38">
            <w:pPr>
              <w:snapToGrid w:val="0"/>
              <w:spacing w:before="120" w:after="120" w:line="320" w:lineRule="exact"/>
              <w:rPr>
                <w:rFonts w:eastAsia="標楷體"/>
                <w:sz w:val="28"/>
              </w:rPr>
            </w:pPr>
          </w:p>
        </w:tc>
        <w:tc>
          <w:tcPr>
            <w:tcW w:w="758" w:type="dxa"/>
            <w:vMerge/>
          </w:tcPr>
          <w:p w:rsidR="002D0824" w:rsidRPr="00AE0D77" w:rsidRDefault="002D0824" w:rsidP="00FC4D38">
            <w:pPr>
              <w:snapToGrid w:val="0"/>
              <w:spacing w:before="120" w:after="120" w:line="320" w:lineRule="exact"/>
              <w:rPr>
                <w:rFonts w:eastAsia="標楷體"/>
                <w:sz w:val="28"/>
              </w:rPr>
            </w:pPr>
          </w:p>
        </w:tc>
        <w:tc>
          <w:tcPr>
            <w:tcW w:w="884" w:type="dxa"/>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pacing w:val="-16"/>
                <w:sz w:val="26"/>
              </w:rPr>
              <w:t>年增率</w:t>
            </w:r>
            <w:r w:rsidRPr="00AE0D77">
              <w:rPr>
                <w:rFonts w:eastAsia="標楷體"/>
                <w:spacing w:val="-16"/>
                <w:sz w:val="26"/>
              </w:rPr>
              <w:br/>
            </w:r>
            <w:r w:rsidRPr="00AE0D77">
              <w:rPr>
                <w:rFonts w:eastAsia="標楷體"/>
                <w:spacing w:val="-16"/>
              </w:rPr>
              <w:t>(</w:t>
            </w:r>
            <w:r w:rsidRPr="00AE0D77">
              <w:rPr>
                <w:rFonts w:eastAsia="標楷體"/>
                <w:spacing w:val="-16"/>
              </w:rPr>
              <w:t>％</w:t>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-3.6</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2.1</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13.5</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-8.3</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-3.0</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12.8</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13.8</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11.7</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11.8</w:t>
            </w:r>
          </w:p>
        </w:tc>
      </w:tr>
      <w:tr w:rsidR="002D0824" w:rsidRPr="00AE0D77" w:rsidTr="00FC4D38">
        <w:trPr>
          <w:cantSplit/>
          <w:trHeight w:hRule="exact" w:val="760"/>
        </w:trPr>
        <w:tc>
          <w:tcPr>
            <w:tcW w:w="616" w:type="dxa"/>
            <w:vMerge/>
            <w:tcBorders>
              <w:left w:val="nil"/>
            </w:tcBorders>
          </w:tcPr>
          <w:p w:rsidR="002D0824" w:rsidRPr="00AE0D77" w:rsidRDefault="002D0824" w:rsidP="00FC4D38">
            <w:pPr>
              <w:snapToGrid w:val="0"/>
              <w:spacing w:before="120" w:after="120" w:line="320" w:lineRule="exact"/>
              <w:rPr>
                <w:rFonts w:eastAsia="標楷體"/>
                <w:sz w:val="28"/>
              </w:rPr>
            </w:pPr>
          </w:p>
        </w:tc>
        <w:tc>
          <w:tcPr>
            <w:tcW w:w="758" w:type="dxa"/>
            <w:vMerge/>
          </w:tcPr>
          <w:p w:rsidR="002D0824" w:rsidRPr="00AE0D77" w:rsidRDefault="002D0824" w:rsidP="00FC4D38">
            <w:pPr>
              <w:snapToGrid w:val="0"/>
              <w:spacing w:before="120" w:after="120" w:line="320" w:lineRule="exact"/>
              <w:rPr>
                <w:rFonts w:eastAsia="標楷體"/>
                <w:sz w:val="28"/>
              </w:rPr>
            </w:pPr>
          </w:p>
        </w:tc>
        <w:tc>
          <w:tcPr>
            <w:tcW w:w="884" w:type="dxa"/>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pacing w:val="-16"/>
                <w:sz w:val="26"/>
              </w:rPr>
              <w:t>比重</w:t>
            </w:r>
            <w:r w:rsidRPr="00AE0D77">
              <w:rPr>
                <w:rFonts w:eastAsia="標楷體"/>
                <w:spacing w:val="-16"/>
                <w:sz w:val="26"/>
              </w:rPr>
              <w:br/>
            </w:r>
            <w:r w:rsidRPr="00AE0D77">
              <w:rPr>
                <w:rFonts w:eastAsia="標楷體"/>
                <w:spacing w:val="-16"/>
              </w:rPr>
              <w:t>(</w:t>
            </w:r>
            <w:r w:rsidRPr="00AE0D77">
              <w:rPr>
                <w:rFonts w:eastAsia="標楷體"/>
                <w:spacing w:val="-16"/>
              </w:rPr>
              <w:t>％</w:t>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15.9</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16.2</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18.1</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19.7</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19.6</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19.9</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18.6</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20.2</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19.0</w:t>
            </w:r>
          </w:p>
        </w:tc>
      </w:tr>
      <w:tr w:rsidR="002D0824" w:rsidRPr="00AE0D77" w:rsidTr="00FC4D38">
        <w:trPr>
          <w:cantSplit/>
          <w:trHeight w:hRule="exact" w:val="760"/>
        </w:trPr>
        <w:tc>
          <w:tcPr>
            <w:tcW w:w="616" w:type="dxa"/>
            <w:vMerge/>
            <w:tcBorders>
              <w:left w:val="nil"/>
            </w:tcBorders>
          </w:tcPr>
          <w:p w:rsidR="002D0824" w:rsidRPr="00AE0D77" w:rsidRDefault="002D0824" w:rsidP="00FC4D38">
            <w:pPr>
              <w:snapToGrid w:val="0"/>
              <w:spacing w:before="120" w:after="120" w:line="320" w:lineRule="exact"/>
              <w:rPr>
                <w:rFonts w:eastAsia="標楷體"/>
                <w:sz w:val="28"/>
              </w:rPr>
            </w:pPr>
          </w:p>
        </w:tc>
        <w:tc>
          <w:tcPr>
            <w:tcW w:w="758" w:type="dxa"/>
            <w:vMerge w:val="restart"/>
            <w:vAlign w:val="center"/>
          </w:tcPr>
          <w:p w:rsidR="002D0824" w:rsidRPr="00AE0D77" w:rsidRDefault="002D0824" w:rsidP="00FC4D38">
            <w:pPr>
              <w:snapToGrid w:val="0"/>
              <w:spacing w:before="120" w:after="120" w:line="320" w:lineRule="exact"/>
              <w:jc w:val="center"/>
              <w:rPr>
                <w:rFonts w:eastAsia="標楷體"/>
              </w:rPr>
            </w:pPr>
            <w:r w:rsidRPr="00AE0D77">
              <w:rPr>
                <w:rFonts w:eastAsia="標楷體"/>
              </w:rPr>
              <w:t>出</w:t>
            </w:r>
            <w:r w:rsidRPr="00AE0D77">
              <w:rPr>
                <w:rFonts w:eastAsia="標楷體"/>
              </w:rPr>
              <w:t>(</w:t>
            </w:r>
            <w:r w:rsidRPr="00AE0D77">
              <w:rPr>
                <w:rFonts w:eastAsia="標楷體"/>
              </w:rPr>
              <w:t>入</w:t>
            </w:r>
            <w:r w:rsidRPr="00AE0D77">
              <w:rPr>
                <w:rFonts w:eastAsia="標楷體"/>
              </w:rPr>
              <w:t>)</w:t>
            </w:r>
            <w:r w:rsidRPr="00AE0D77">
              <w:rPr>
                <w:rFonts w:eastAsia="標楷體"/>
              </w:rPr>
              <w:br/>
            </w:r>
            <w:r w:rsidRPr="00AE0D77">
              <w:rPr>
                <w:rFonts w:eastAsia="標楷體"/>
              </w:rPr>
              <w:t>超</w:t>
            </w:r>
          </w:p>
        </w:tc>
        <w:tc>
          <w:tcPr>
            <w:tcW w:w="884" w:type="dxa"/>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pacing w:val="-16"/>
                <w:sz w:val="26"/>
              </w:rPr>
              <w:t>總額</w:t>
            </w:r>
            <w:r w:rsidRPr="00AE0D77">
              <w:rPr>
                <w:rFonts w:eastAsia="標楷體"/>
                <w:spacing w:val="-16"/>
                <w:sz w:val="26"/>
              </w:rPr>
              <w:br/>
            </w:r>
            <w:r w:rsidRPr="00AE0D77">
              <w:rPr>
                <w:rFonts w:eastAsia="標楷體"/>
                <w:spacing w:val="-16"/>
              </w:rPr>
              <w:t>(</w:t>
            </w:r>
            <w:r w:rsidRPr="00AE0D77">
              <w:rPr>
                <w:rFonts w:eastAsia="標楷體"/>
                <w:spacing w:val="-16"/>
              </w:rPr>
              <w:t>億美元</w:t>
            </w:r>
            <w:r w:rsidRPr="00AE0D77">
              <w:rPr>
                <w:rFonts w:eastAsia="標楷體"/>
                <w:spacing w:val="-16"/>
              </w:rPr>
              <w:t>)</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771.5</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803.8</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775.4</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658.1</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669.7</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59.4</w:t>
            </w:r>
          </w:p>
        </w:tc>
        <w:tc>
          <w:tcPr>
            <w:tcW w:w="1030"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56.0</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54.8</w:t>
            </w:r>
          </w:p>
        </w:tc>
        <w:tc>
          <w:tcPr>
            <w:tcW w:w="1031" w:type="dxa"/>
            <w:tcBorders>
              <w:top w:val="nil"/>
              <w:left w:val="nil"/>
              <w:bottom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284.8</w:t>
            </w:r>
          </w:p>
        </w:tc>
      </w:tr>
      <w:tr w:rsidR="002D0824" w:rsidRPr="00AE0D77" w:rsidTr="00FC4D38">
        <w:trPr>
          <w:cantSplit/>
          <w:trHeight w:hRule="exact" w:val="760"/>
        </w:trPr>
        <w:tc>
          <w:tcPr>
            <w:tcW w:w="616" w:type="dxa"/>
            <w:vMerge/>
            <w:tcBorders>
              <w:left w:val="nil"/>
            </w:tcBorders>
          </w:tcPr>
          <w:p w:rsidR="002D0824" w:rsidRPr="00AE0D77" w:rsidRDefault="002D0824" w:rsidP="00FC4D38">
            <w:pPr>
              <w:snapToGrid w:val="0"/>
              <w:spacing w:before="120" w:after="120" w:line="320" w:lineRule="exact"/>
              <w:rPr>
                <w:rFonts w:eastAsia="標楷體"/>
                <w:sz w:val="28"/>
              </w:rPr>
            </w:pPr>
          </w:p>
        </w:tc>
        <w:tc>
          <w:tcPr>
            <w:tcW w:w="758" w:type="dxa"/>
            <w:vMerge/>
          </w:tcPr>
          <w:p w:rsidR="002D0824" w:rsidRPr="00AE0D77" w:rsidRDefault="002D0824" w:rsidP="00FC4D38">
            <w:pPr>
              <w:snapToGrid w:val="0"/>
              <w:spacing w:before="120" w:after="120" w:line="320" w:lineRule="exact"/>
              <w:rPr>
                <w:rFonts w:eastAsia="標楷體"/>
                <w:sz w:val="28"/>
              </w:rPr>
            </w:pPr>
          </w:p>
        </w:tc>
        <w:tc>
          <w:tcPr>
            <w:tcW w:w="884" w:type="dxa"/>
          </w:tcPr>
          <w:p w:rsidR="002D0824" w:rsidRPr="00AE0D77" w:rsidRDefault="002D0824" w:rsidP="00FC4D38">
            <w:pPr>
              <w:snapToGrid w:val="0"/>
              <w:spacing w:before="120" w:after="120" w:line="280" w:lineRule="exact"/>
              <w:jc w:val="center"/>
              <w:rPr>
                <w:rFonts w:eastAsia="標楷體"/>
                <w:spacing w:val="-16"/>
                <w:sz w:val="26"/>
              </w:rPr>
            </w:pPr>
            <w:r w:rsidRPr="00AE0D77">
              <w:rPr>
                <w:rFonts w:eastAsia="標楷體"/>
                <w:spacing w:val="-16"/>
                <w:sz w:val="26"/>
              </w:rPr>
              <w:t>年增率</w:t>
            </w:r>
            <w:r w:rsidRPr="00AE0D77">
              <w:rPr>
                <w:rFonts w:eastAsia="標楷體"/>
                <w:spacing w:val="-16"/>
                <w:sz w:val="26"/>
              </w:rPr>
              <w:br/>
            </w:r>
            <w:r w:rsidRPr="00AE0D77">
              <w:rPr>
                <w:rFonts w:eastAsia="標楷體"/>
                <w:spacing w:val="-16"/>
              </w:rPr>
              <w:t>(</w:t>
            </w:r>
            <w:r w:rsidRPr="00AE0D77">
              <w:rPr>
                <w:rFonts w:eastAsia="標楷體"/>
                <w:spacing w:val="-16"/>
              </w:rPr>
              <w:t>％</w:t>
            </w:r>
            <w:r w:rsidRPr="00AE0D77">
              <w:rPr>
                <w:rFonts w:eastAsia="標楷體"/>
                <w:spacing w:val="-16"/>
              </w:rPr>
              <w:t>)</w:t>
            </w:r>
          </w:p>
        </w:tc>
        <w:tc>
          <w:tcPr>
            <w:tcW w:w="1030" w:type="dxa"/>
            <w:tcBorders>
              <w:top w:val="nil"/>
              <w:left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-3.9</w:t>
            </w:r>
          </w:p>
        </w:tc>
        <w:tc>
          <w:tcPr>
            <w:tcW w:w="1031" w:type="dxa"/>
            <w:tcBorders>
              <w:top w:val="nil"/>
              <w:left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4.2</w:t>
            </w:r>
          </w:p>
        </w:tc>
        <w:tc>
          <w:tcPr>
            <w:tcW w:w="1031" w:type="dxa"/>
            <w:tcBorders>
              <w:top w:val="nil"/>
              <w:left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-3.5</w:t>
            </w:r>
          </w:p>
        </w:tc>
        <w:tc>
          <w:tcPr>
            <w:tcW w:w="1030" w:type="dxa"/>
            <w:tcBorders>
              <w:top w:val="nil"/>
              <w:left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-15.1</w:t>
            </w:r>
          </w:p>
        </w:tc>
        <w:tc>
          <w:tcPr>
            <w:tcW w:w="1031" w:type="dxa"/>
            <w:tcBorders>
              <w:top w:val="nil"/>
              <w:left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1.8</w:t>
            </w:r>
          </w:p>
        </w:tc>
        <w:tc>
          <w:tcPr>
            <w:tcW w:w="1031" w:type="dxa"/>
            <w:tcBorders>
              <w:top w:val="nil"/>
              <w:left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19.8</w:t>
            </w:r>
          </w:p>
        </w:tc>
        <w:tc>
          <w:tcPr>
            <w:tcW w:w="1030" w:type="dxa"/>
            <w:tcBorders>
              <w:top w:val="nil"/>
              <w:left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7.8</w:t>
            </w:r>
          </w:p>
        </w:tc>
        <w:tc>
          <w:tcPr>
            <w:tcW w:w="1031" w:type="dxa"/>
            <w:tcBorders>
              <w:top w:val="nil"/>
              <w:left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2.4</w:t>
            </w:r>
          </w:p>
        </w:tc>
        <w:tc>
          <w:tcPr>
            <w:tcW w:w="1031" w:type="dxa"/>
            <w:tcBorders>
              <w:top w:val="nil"/>
              <w:left w:val="nil"/>
              <w:right w:val="nil"/>
            </w:tcBorders>
            <w:vAlign w:val="center"/>
          </w:tcPr>
          <w:p w:rsidR="002D0824" w:rsidRPr="00AE0D77" w:rsidRDefault="002D0824" w:rsidP="002D0824">
            <w:pPr>
              <w:spacing w:beforeLines="20" w:before="72" w:afterLines="20" w:after="72" w:line="400" w:lineRule="exact"/>
              <w:ind w:rightChars="100" w:right="240"/>
              <w:jc w:val="right"/>
              <w:rPr>
                <w:rFonts w:eastAsia="標楷體"/>
              </w:rPr>
            </w:pPr>
            <w:r w:rsidRPr="00AE0D77">
              <w:rPr>
                <w:rFonts w:eastAsia="標楷體"/>
              </w:rPr>
              <w:t>19.2</w:t>
            </w:r>
          </w:p>
        </w:tc>
      </w:tr>
    </w:tbl>
    <w:p w:rsidR="002D0824" w:rsidRPr="00AE0D77" w:rsidRDefault="002D0824" w:rsidP="002D0824">
      <w:pPr>
        <w:widowControl/>
        <w:autoSpaceDE w:val="0"/>
        <w:autoSpaceDN w:val="0"/>
        <w:adjustRightInd w:val="0"/>
        <w:snapToGrid w:val="0"/>
        <w:spacing w:line="300" w:lineRule="auto"/>
        <w:rPr>
          <w:rFonts w:eastAsia="標楷體"/>
          <w:sz w:val="22"/>
          <w:szCs w:val="22"/>
        </w:rPr>
      </w:pPr>
      <w:r w:rsidRPr="00AE0D77">
        <w:rPr>
          <w:rFonts w:eastAsia="標楷體"/>
          <w:sz w:val="22"/>
          <w:szCs w:val="22"/>
        </w:rPr>
        <w:t>註：</w:t>
      </w:r>
      <w:r w:rsidRPr="00AE0D77">
        <w:rPr>
          <w:rFonts w:eastAsia="標楷體"/>
          <w:sz w:val="22"/>
          <w:szCs w:val="22"/>
        </w:rPr>
        <w:t>1.</w:t>
      </w:r>
      <w:r w:rsidRPr="00AE0D77">
        <w:rPr>
          <w:rFonts w:eastAsia="標楷體"/>
          <w:sz w:val="22"/>
          <w:szCs w:val="22"/>
        </w:rPr>
        <w:t>我對中國大陸投資件數及金額均含核准補辦案件。</w:t>
      </w:r>
    </w:p>
    <w:p w:rsidR="002D0824" w:rsidRPr="00AE0D77" w:rsidRDefault="002D0824" w:rsidP="002D0824">
      <w:pPr>
        <w:widowControl/>
        <w:autoSpaceDE w:val="0"/>
        <w:autoSpaceDN w:val="0"/>
        <w:adjustRightInd w:val="0"/>
        <w:snapToGrid w:val="0"/>
        <w:spacing w:line="300" w:lineRule="auto"/>
        <w:rPr>
          <w:rFonts w:eastAsia="標楷體"/>
          <w:sz w:val="22"/>
          <w:szCs w:val="22"/>
        </w:rPr>
      </w:pPr>
      <w:r w:rsidRPr="00AE0D77">
        <w:rPr>
          <w:rFonts w:eastAsia="標楷體"/>
          <w:sz w:val="22"/>
          <w:szCs w:val="22"/>
        </w:rPr>
        <w:t xml:space="preserve">    2.</w:t>
      </w:r>
      <w:r w:rsidRPr="00AE0D77">
        <w:rPr>
          <w:rFonts w:eastAsia="標楷體"/>
          <w:sz w:val="22"/>
          <w:szCs w:val="22"/>
        </w:rPr>
        <w:t>我對中國大陸投資金額（）內數字為年增率。</w:t>
      </w:r>
    </w:p>
    <w:p w:rsidR="002D0824" w:rsidRPr="00AE0D77" w:rsidRDefault="002D0824" w:rsidP="002D0824">
      <w:pPr>
        <w:widowControl/>
        <w:autoSpaceDE w:val="0"/>
        <w:autoSpaceDN w:val="0"/>
        <w:adjustRightInd w:val="0"/>
        <w:snapToGrid w:val="0"/>
        <w:spacing w:line="300" w:lineRule="auto"/>
        <w:rPr>
          <w:rFonts w:eastAsia="標楷體"/>
          <w:sz w:val="22"/>
          <w:szCs w:val="22"/>
        </w:rPr>
      </w:pPr>
      <w:r w:rsidRPr="00AE0D77">
        <w:rPr>
          <w:rFonts w:eastAsia="標楷體"/>
          <w:sz w:val="22"/>
          <w:szCs w:val="22"/>
        </w:rPr>
        <w:t xml:space="preserve">　　</w:t>
      </w:r>
      <w:r w:rsidRPr="00AE0D77">
        <w:rPr>
          <w:rFonts w:eastAsia="標楷體"/>
          <w:sz w:val="22"/>
          <w:szCs w:val="22"/>
        </w:rPr>
        <w:t>3. 2009</w:t>
      </w:r>
      <w:r w:rsidRPr="00AE0D77">
        <w:rPr>
          <w:rFonts w:eastAsia="標楷體"/>
          <w:sz w:val="22"/>
          <w:szCs w:val="22"/>
        </w:rPr>
        <w:t>年</w:t>
      </w:r>
      <w:r w:rsidRPr="00AE0D77">
        <w:rPr>
          <w:rFonts w:eastAsia="標楷體"/>
          <w:sz w:val="22"/>
          <w:szCs w:val="22"/>
        </w:rPr>
        <w:t>6</w:t>
      </w:r>
      <w:r w:rsidRPr="00AE0D77">
        <w:rPr>
          <w:rFonts w:eastAsia="標楷體"/>
          <w:sz w:val="22"/>
          <w:szCs w:val="22"/>
        </w:rPr>
        <w:t>月</w:t>
      </w:r>
      <w:r w:rsidRPr="00AE0D77">
        <w:rPr>
          <w:rFonts w:eastAsia="標楷體"/>
          <w:sz w:val="22"/>
          <w:szCs w:val="22"/>
        </w:rPr>
        <w:t>30</w:t>
      </w:r>
      <w:r w:rsidRPr="00AE0D77">
        <w:rPr>
          <w:rFonts w:eastAsia="標楷體"/>
          <w:sz w:val="22"/>
          <w:szCs w:val="22"/>
        </w:rPr>
        <w:t>日起開放陸資來臺投資。</w:t>
      </w:r>
    </w:p>
    <w:p w:rsidR="001249DE" w:rsidRPr="00AE0D77" w:rsidRDefault="002D0824" w:rsidP="002D0824">
      <w:pPr>
        <w:widowControl/>
        <w:autoSpaceDE w:val="0"/>
        <w:autoSpaceDN w:val="0"/>
        <w:adjustRightInd w:val="0"/>
        <w:snapToGrid w:val="0"/>
        <w:spacing w:line="300" w:lineRule="auto"/>
        <w:rPr>
          <w:rFonts w:eastAsia="標楷體"/>
          <w:sz w:val="32"/>
        </w:rPr>
      </w:pPr>
      <w:r w:rsidRPr="00AE0D77">
        <w:rPr>
          <w:rFonts w:eastAsia="標楷體"/>
          <w:sz w:val="22"/>
          <w:szCs w:val="22"/>
        </w:rPr>
        <w:t>資料來源：經濟部投審會「投資統計月報」、財政部進出口海關統計。</w:t>
      </w:r>
    </w:p>
    <w:bookmarkEnd w:id="52"/>
    <w:p w:rsidR="003F3337" w:rsidRPr="00AE0D77" w:rsidRDefault="003F3337" w:rsidP="003F3337">
      <w:pPr>
        <w:widowControl/>
        <w:autoSpaceDE w:val="0"/>
        <w:autoSpaceDN w:val="0"/>
        <w:adjustRightInd w:val="0"/>
        <w:snapToGrid w:val="0"/>
        <w:spacing w:line="300" w:lineRule="auto"/>
        <w:rPr>
          <w:rFonts w:eastAsia="標楷體"/>
          <w:sz w:val="32"/>
        </w:rPr>
      </w:pPr>
    </w:p>
    <w:p w:rsidR="00250A65" w:rsidRPr="00AE0D77" w:rsidRDefault="00250A65" w:rsidP="00250A65">
      <w:pPr>
        <w:widowControl/>
        <w:rPr>
          <w:rFonts w:eastAsia="標楷體"/>
          <w:sz w:val="22"/>
          <w:szCs w:val="22"/>
        </w:rPr>
      </w:pPr>
      <w:bookmarkStart w:id="56" w:name="_Toc279048470"/>
      <w:bookmarkStart w:id="57" w:name="_Toc337122124"/>
      <w:bookmarkStart w:id="58" w:name="_Toc349916576"/>
      <w:bookmarkStart w:id="59" w:name="_Toc401923788"/>
      <w:bookmarkStart w:id="60" w:name="_Toc402171704"/>
      <w:bookmarkEnd w:id="53"/>
      <w:bookmarkEnd w:id="54"/>
      <w:bookmarkEnd w:id="55"/>
    </w:p>
    <w:p w:rsidR="000B03F6" w:rsidRPr="00AE0D77" w:rsidRDefault="000B03F6" w:rsidP="00171436">
      <w:pPr>
        <w:keepNext/>
        <w:adjustRightInd w:val="0"/>
        <w:snapToGrid w:val="0"/>
        <w:spacing w:line="300" w:lineRule="auto"/>
        <w:outlineLvl w:val="1"/>
        <w:rPr>
          <w:rFonts w:eastAsia="標楷體"/>
        </w:rPr>
      </w:pPr>
      <w:bookmarkStart w:id="61" w:name="_Toc486347623"/>
      <w:r w:rsidRPr="00AE0D77">
        <w:rPr>
          <w:rFonts w:eastAsia="標楷體"/>
          <w:b/>
          <w:bCs/>
          <w:sz w:val="40"/>
          <w:szCs w:val="36"/>
        </w:rPr>
        <w:lastRenderedPageBreak/>
        <w:t>參、經濟情勢分析</w:t>
      </w:r>
      <w:bookmarkEnd w:id="56"/>
      <w:bookmarkEnd w:id="57"/>
      <w:bookmarkEnd w:id="58"/>
      <w:bookmarkEnd w:id="59"/>
      <w:bookmarkEnd w:id="60"/>
      <w:bookmarkEnd w:id="61"/>
    </w:p>
    <w:p w:rsidR="000B03F6" w:rsidRPr="00AE0D77"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86347624"/>
      <w:r w:rsidRPr="00AE0D77">
        <w:rPr>
          <w:rFonts w:eastAsia="標楷體"/>
          <w:b/>
          <w:bCs/>
          <w:sz w:val="40"/>
          <w:szCs w:val="36"/>
        </w:rPr>
        <w:t>一、國際經濟</w:t>
      </w:r>
      <w:bookmarkEnd w:id="62"/>
      <w:bookmarkEnd w:id="63"/>
      <w:bookmarkEnd w:id="64"/>
      <w:bookmarkEnd w:id="65"/>
      <w:bookmarkEnd w:id="66"/>
      <w:bookmarkEnd w:id="67"/>
      <w:bookmarkEnd w:id="68"/>
    </w:p>
    <w:p w:rsidR="000B03F6" w:rsidRPr="00AE0D77"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86347625"/>
      <w:r w:rsidRPr="00AE0D77">
        <w:t>（一）美國</w:t>
      </w:r>
      <w:bookmarkEnd w:id="69"/>
      <w:bookmarkEnd w:id="70"/>
      <w:bookmarkEnd w:id="71"/>
      <w:bookmarkEnd w:id="72"/>
      <w:bookmarkEnd w:id="73"/>
    </w:p>
    <w:p w:rsidR="009F3ED4" w:rsidRPr="00AE0D77" w:rsidRDefault="009F3ED4" w:rsidP="009F3ED4">
      <w:pPr>
        <w:snapToGrid w:val="0"/>
        <w:spacing w:beforeLines="50" w:before="180" w:line="300" w:lineRule="auto"/>
        <w:ind w:leftChars="150" w:left="360" w:firstLineChars="200" w:firstLine="560"/>
        <w:jc w:val="both"/>
        <w:rPr>
          <w:rFonts w:eastAsia="標楷體"/>
          <w:sz w:val="28"/>
          <w:szCs w:val="28"/>
        </w:rPr>
      </w:pPr>
      <w:r w:rsidRPr="00AE0D77">
        <w:rPr>
          <w:rFonts w:eastAsia="標楷體"/>
          <w:sz w:val="28"/>
          <w:szCs w:val="28"/>
        </w:rPr>
        <w:t>美國商務部於今</w:t>
      </w:r>
      <w:r w:rsidRPr="00AE0D77">
        <w:rPr>
          <w:rFonts w:eastAsia="標楷體"/>
          <w:sz w:val="28"/>
          <w:szCs w:val="28"/>
        </w:rPr>
        <w:t>(2017)</w:t>
      </w:r>
      <w:r w:rsidRPr="00AE0D77">
        <w:rPr>
          <w:rFonts w:eastAsia="標楷體"/>
          <w:sz w:val="28"/>
          <w:szCs w:val="28"/>
        </w:rPr>
        <w:t>年</w:t>
      </w:r>
      <w:r w:rsidRPr="00AE0D77">
        <w:rPr>
          <w:rFonts w:eastAsia="標楷體"/>
          <w:sz w:val="28"/>
          <w:szCs w:val="28"/>
        </w:rPr>
        <w:t>5</w:t>
      </w:r>
      <w:r w:rsidRPr="00AE0D77">
        <w:rPr>
          <w:rFonts w:eastAsia="標楷體"/>
          <w:sz w:val="28"/>
          <w:szCs w:val="28"/>
        </w:rPr>
        <w:t>月</w:t>
      </w:r>
      <w:r w:rsidRPr="00AE0D77">
        <w:rPr>
          <w:rFonts w:eastAsia="標楷體"/>
          <w:sz w:val="28"/>
          <w:szCs w:val="28"/>
        </w:rPr>
        <w:t>26</w:t>
      </w:r>
      <w:r w:rsidRPr="00AE0D77">
        <w:rPr>
          <w:rFonts w:eastAsia="標楷體"/>
          <w:sz w:val="28"/>
          <w:szCs w:val="28"/>
        </w:rPr>
        <w:t>日上修第</w:t>
      </w:r>
      <w:r w:rsidRPr="00AE0D77">
        <w:rPr>
          <w:rFonts w:eastAsia="標楷體"/>
          <w:sz w:val="28"/>
          <w:szCs w:val="28"/>
        </w:rPr>
        <w:t>1</w:t>
      </w:r>
      <w:r w:rsidRPr="00AE0D77">
        <w:rPr>
          <w:rFonts w:eastAsia="標楷體"/>
          <w:sz w:val="28"/>
          <w:szCs w:val="28"/>
        </w:rPr>
        <w:t>季國內生產毛額</w:t>
      </w:r>
      <w:r w:rsidRPr="00AE0D77">
        <w:rPr>
          <w:rFonts w:eastAsia="標楷體"/>
          <w:sz w:val="28"/>
          <w:szCs w:val="28"/>
        </w:rPr>
        <w:t>(GDP)</w:t>
      </w:r>
      <w:r w:rsidRPr="00AE0D77">
        <w:rPr>
          <w:rFonts w:eastAsia="標楷體"/>
          <w:sz w:val="28"/>
          <w:szCs w:val="28"/>
        </w:rPr>
        <w:t>成長率至</w:t>
      </w:r>
      <w:r w:rsidRPr="00AE0D77">
        <w:rPr>
          <w:rFonts w:eastAsia="標楷體"/>
          <w:sz w:val="28"/>
          <w:szCs w:val="28"/>
        </w:rPr>
        <w:t>1.2</w:t>
      </w:r>
      <w:r w:rsidRPr="00AE0D77">
        <w:rPr>
          <w:rFonts w:eastAsia="標楷體"/>
          <w:sz w:val="28"/>
          <w:szCs w:val="28"/>
        </w:rPr>
        <w:t>％。經濟合作暨發展組織</w:t>
      </w:r>
      <w:r w:rsidRPr="00AE0D77">
        <w:rPr>
          <w:rFonts w:eastAsia="標楷體"/>
          <w:sz w:val="28"/>
          <w:szCs w:val="28"/>
        </w:rPr>
        <w:t>(OECD)</w:t>
      </w:r>
      <w:r w:rsidRPr="00AE0D77">
        <w:rPr>
          <w:rFonts w:eastAsia="標楷體"/>
          <w:sz w:val="28"/>
          <w:szCs w:val="28"/>
        </w:rPr>
        <w:t>最新全球經濟展望報告以美國總統川普的刺激經濟措施進展遲緩為由，下修美國今年經濟成長率至</w:t>
      </w:r>
      <w:r w:rsidRPr="00AE0D77">
        <w:rPr>
          <w:rFonts w:eastAsia="標楷體"/>
          <w:sz w:val="28"/>
          <w:szCs w:val="28"/>
        </w:rPr>
        <w:t>2.1</w:t>
      </w:r>
      <w:r w:rsidRPr="00AE0D77">
        <w:rPr>
          <w:rFonts w:eastAsia="標楷體"/>
          <w:sz w:val="28"/>
          <w:szCs w:val="28"/>
        </w:rPr>
        <w:t>％。美國聯準會</w:t>
      </w:r>
      <w:r w:rsidRPr="00AE0D77">
        <w:rPr>
          <w:rFonts w:eastAsia="標楷體"/>
          <w:sz w:val="28"/>
          <w:szCs w:val="28"/>
        </w:rPr>
        <w:t>(Fed)</w:t>
      </w:r>
      <w:r w:rsidRPr="00AE0D77">
        <w:rPr>
          <w:rFonts w:eastAsia="標楷體"/>
          <w:sz w:val="28"/>
          <w:szCs w:val="28"/>
        </w:rPr>
        <w:t>於今年</w:t>
      </w:r>
      <w:r w:rsidRPr="00AE0D77">
        <w:rPr>
          <w:rFonts w:eastAsia="標楷體"/>
          <w:sz w:val="28"/>
          <w:szCs w:val="28"/>
        </w:rPr>
        <w:t>6</w:t>
      </w:r>
      <w:r w:rsidRPr="00AE0D77">
        <w:rPr>
          <w:rFonts w:eastAsia="標楷體"/>
          <w:sz w:val="28"/>
          <w:szCs w:val="28"/>
        </w:rPr>
        <w:t>月</w:t>
      </w:r>
      <w:r w:rsidRPr="00AE0D77">
        <w:rPr>
          <w:rFonts w:eastAsia="標楷體"/>
          <w:sz w:val="28"/>
          <w:szCs w:val="28"/>
        </w:rPr>
        <w:t>14</w:t>
      </w:r>
      <w:r w:rsidRPr="00AE0D77">
        <w:rPr>
          <w:rFonts w:eastAsia="標楷體"/>
          <w:sz w:val="28"/>
          <w:szCs w:val="28"/>
        </w:rPr>
        <w:t>日聯邦公開市場操作委員會</w:t>
      </w:r>
      <w:r w:rsidRPr="00AE0D77">
        <w:rPr>
          <w:rFonts w:eastAsia="標楷體"/>
          <w:sz w:val="28"/>
          <w:szCs w:val="28"/>
        </w:rPr>
        <w:t>(FOMC)</w:t>
      </w:r>
      <w:r w:rsidRPr="00AE0D77">
        <w:rPr>
          <w:rFonts w:eastAsia="標楷體"/>
          <w:sz w:val="28"/>
          <w:szCs w:val="28"/>
        </w:rPr>
        <w:t>決議升息</w:t>
      </w:r>
      <w:r w:rsidRPr="00AE0D77">
        <w:rPr>
          <w:rFonts w:eastAsia="標楷體"/>
          <w:sz w:val="28"/>
          <w:szCs w:val="28"/>
        </w:rPr>
        <w:t>1</w:t>
      </w:r>
      <w:r w:rsidRPr="00AE0D77">
        <w:rPr>
          <w:rFonts w:eastAsia="標楷體"/>
          <w:sz w:val="28"/>
          <w:szCs w:val="28"/>
        </w:rPr>
        <w:t>碼，聯邦基金利率上調至</w:t>
      </w:r>
      <w:r w:rsidRPr="00AE0D77">
        <w:rPr>
          <w:rFonts w:eastAsia="標楷體"/>
          <w:sz w:val="28"/>
          <w:szCs w:val="28"/>
        </w:rPr>
        <w:t>1%~1.25%</w:t>
      </w:r>
      <w:r w:rsidRPr="00AE0D77">
        <w:rPr>
          <w:rFonts w:eastAsia="標楷體"/>
          <w:sz w:val="28"/>
          <w:szCs w:val="28"/>
        </w:rPr>
        <w:t>，並預告今年底前可能再升息</w:t>
      </w:r>
      <w:r w:rsidRPr="00AE0D77">
        <w:rPr>
          <w:rFonts w:eastAsia="標楷體"/>
          <w:sz w:val="28"/>
          <w:szCs w:val="28"/>
        </w:rPr>
        <w:t>1</w:t>
      </w:r>
      <w:r w:rsidRPr="00AE0D77">
        <w:rPr>
          <w:rFonts w:eastAsia="標楷體"/>
          <w:sz w:val="28"/>
          <w:szCs w:val="28"/>
        </w:rPr>
        <w:t>次，並計劃縮減資產負債表。</w:t>
      </w:r>
    </w:p>
    <w:p w:rsidR="009F3ED4" w:rsidRPr="00AE0D77" w:rsidRDefault="009F3ED4" w:rsidP="009F3ED4">
      <w:pPr>
        <w:snapToGrid w:val="0"/>
        <w:spacing w:beforeLines="50" w:before="180" w:line="300" w:lineRule="auto"/>
        <w:ind w:leftChars="150" w:left="360" w:firstLineChars="200" w:firstLine="560"/>
        <w:jc w:val="both"/>
        <w:rPr>
          <w:rFonts w:eastAsia="標楷體"/>
          <w:sz w:val="28"/>
          <w:szCs w:val="28"/>
        </w:rPr>
      </w:pPr>
      <w:r w:rsidRPr="00AE0D77">
        <w:rPr>
          <w:rFonts w:eastAsia="標楷體"/>
          <w:sz w:val="28"/>
          <w:szCs w:val="28"/>
        </w:rPr>
        <w:t>美國工商協進會</w:t>
      </w:r>
      <w:r w:rsidRPr="00AE0D77">
        <w:rPr>
          <w:rFonts w:eastAsia="標楷體"/>
          <w:sz w:val="28"/>
          <w:szCs w:val="28"/>
        </w:rPr>
        <w:t>(Conference Board)</w:t>
      </w:r>
      <w:r w:rsidRPr="00AE0D77">
        <w:rPr>
          <w:rFonts w:eastAsia="標楷體"/>
          <w:sz w:val="28"/>
          <w:szCs w:val="28"/>
        </w:rPr>
        <w:t>公布今年</w:t>
      </w:r>
      <w:r w:rsidRPr="00AE0D77">
        <w:rPr>
          <w:rFonts w:eastAsia="標楷體"/>
          <w:sz w:val="28"/>
          <w:szCs w:val="28"/>
        </w:rPr>
        <w:t>5</w:t>
      </w:r>
      <w:r w:rsidRPr="00AE0D77">
        <w:rPr>
          <w:rFonts w:eastAsia="標楷體"/>
          <w:sz w:val="28"/>
          <w:szCs w:val="28"/>
        </w:rPr>
        <w:t>月領先指標增加</w:t>
      </w:r>
      <w:r w:rsidRPr="00AE0D77">
        <w:rPr>
          <w:rFonts w:eastAsia="標楷體"/>
          <w:sz w:val="28"/>
          <w:szCs w:val="28"/>
        </w:rPr>
        <w:t>0.3%</w:t>
      </w:r>
      <w:r w:rsidRPr="00AE0D77">
        <w:rPr>
          <w:rFonts w:eastAsia="標楷體"/>
          <w:sz w:val="28"/>
          <w:szCs w:val="28"/>
        </w:rPr>
        <w:t>，除建築許可負成長外，其餘製造業平均每週工時、每週平均申請失業救濟金人數、股價指標、消費者預期、利率差距、領先信用指數、製造業消費性產品與材料新訂單、</w:t>
      </w:r>
      <w:r w:rsidRPr="00AE0D77">
        <w:rPr>
          <w:rFonts w:eastAsia="標楷體"/>
          <w:sz w:val="28"/>
          <w:szCs w:val="28"/>
        </w:rPr>
        <w:t>ISM</w:t>
      </w:r>
      <w:r w:rsidRPr="00AE0D77">
        <w:rPr>
          <w:rFonts w:eastAsia="標楷體"/>
          <w:sz w:val="28"/>
          <w:szCs w:val="28"/>
        </w:rPr>
        <w:t>新接訂單，以及製造業非國防資本財新訂單皆呈正成長；今年</w:t>
      </w:r>
      <w:r w:rsidRPr="00AE0D77">
        <w:rPr>
          <w:rFonts w:eastAsia="標楷體"/>
          <w:sz w:val="28"/>
          <w:szCs w:val="28"/>
        </w:rPr>
        <w:t>5</w:t>
      </w:r>
      <w:r w:rsidRPr="00AE0D77">
        <w:rPr>
          <w:rFonts w:eastAsia="標楷體"/>
          <w:sz w:val="28"/>
          <w:szCs w:val="28"/>
        </w:rPr>
        <w:t>月消費者信心指數，自今年</w:t>
      </w:r>
      <w:r w:rsidRPr="00AE0D77">
        <w:rPr>
          <w:rFonts w:eastAsia="標楷體"/>
          <w:sz w:val="28"/>
          <w:szCs w:val="28"/>
        </w:rPr>
        <w:t>4</w:t>
      </w:r>
      <w:r w:rsidRPr="00AE0D77">
        <w:rPr>
          <w:rFonts w:eastAsia="標楷體"/>
          <w:sz w:val="28"/>
          <w:szCs w:val="28"/>
        </w:rPr>
        <w:t>月修正後的</w:t>
      </w:r>
      <w:r w:rsidRPr="00AE0D77">
        <w:rPr>
          <w:rFonts w:eastAsia="標楷體"/>
          <w:sz w:val="28"/>
          <w:szCs w:val="28"/>
        </w:rPr>
        <w:t>119.4</w:t>
      </w:r>
      <w:r w:rsidRPr="00AE0D77">
        <w:rPr>
          <w:rFonts w:eastAsia="標楷體"/>
          <w:sz w:val="28"/>
          <w:szCs w:val="28"/>
        </w:rPr>
        <w:t>下降至</w:t>
      </w:r>
      <w:r w:rsidRPr="00AE0D77">
        <w:rPr>
          <w:rFonts w:eastAsia="標楷體"/>
          <w:sz w:val="28"/>
          <w:szCs w:val="28"/>
        </w:rPr>
        <w:t>117.9</w:t>
      </w:r>
      <w:r w:rsidRPr="00AE0D77">
        <w:rPr>
          <w:rFonts w:eastAsia="標楷體"/>
          <w:sz w:val="28"/>
          <w:szCs w:val="28"/>
        </w:rPr>
        <w:t>；</w:t>
      </w:r>
      <w:r w:rsidRPr="00AE0D77">
        <w:rPr>
          <w:rFonts w:eastAsia="標楷體"/>
          <w:sz w:val="28"/>
          <w:szCs w:val="28"/>
        </w:rPr>
        <w:t>5</w:t>
      </w:r>
      <w:r w:rsidRPr="00AE0D77">
        <w:rPr>
          <w:rFonts w:eastAsia="標楷體"/>
          <w:sz w:val="28"/>
          <w:szCs w:val="28"/>
        </w:rPr>
        <w:t>月製造業採購經理人指數，從上月的</w:t>
      </w:r>
      <w:r w:rsidRPr="00AE0D77">
        <w:rPr>
          <w:rFonts w:eastAsia="標楷體"/>
          <w:sz w:val="28"/>
          <w:szCs w:val="28"/>
        </w:rPr>
        <w:t>54.8</w:t>
      </w:r>
      <w:r w:rsidRPr="00AE0D77">
        <w:rPr>
          <w:rFonts w:eastAsia="標楷體"/>
          <w:sz w:val="28"/>
          <w:szCs w:val="28"/>
        </w:rPr>
        <w:t>微升至</w:t>
      </w:r>
      <w:r w:rsidRPr="00AE0D77">
        <w:rPr>
          <w:rFonts w:eastAsia="標楷體"/>
          <w:sz w:val="28"/>
          <w:szCs w:val="28"/>
        </w:rPr>
        <w:t>54.9</w:t>
      </w:r>
      <w:r w:rsidRPr="00AE0D77">
        <w:rPr>
          <w:rFonts w:eastAsia="標楷體"/>
          <w:sz w:val="28"/>
          <w:szCs w:val="28"/>
        </w:rPr>
        <w:t>，數值高於</w:t>
      </w:r>
      <w:r w:rsidRPr="00AE0D77">
        <w:rPr>
          <w:rFonts w:eastAsia="標楷體"/>
          <w:sz w:val="28"/>
          <w:szCs w:val="28"/>
        </w:rPr>
        <w:t>50</w:t>
      </w:r>
      <w:r w:rsidRPr="00AE0D77">
        <w:rPr>
          <w:rFonts w:eastAsia="標楷體"/>
          <w:sz w:val="28"/>
          <w:szCs w:val="28"/>
        </w:rPr>
        <w:t>榮枯線，顯示製造業活動處於擴張。</w:t>
      </w:r>
    </w:p>
    <w:p w:rsidR="003D29D3" w:rsidRPr="00AE0D77" w:rsidRDefault="009F3ED4" w:rsidP="009F3ED4">
      <w:pPr>
        <w:snapToGrid w:val="0"/>
        <w:spacing w:beforeLines="50" w:before="180" w:line="300" w:lineRule="auto"/>
        <w:ind w:leftChars="150" w:left="360" w:firstLineChars="200" w:firstLine="560"/>
        <w:jc w:val="both"/>
        <w:rPr>
          <w:rFonts w:eastAsia="標楷體"/>
          <w:sz w:val="28"/>
          <w:szCs w:val="28"/>
          <w:shd w:val="clear" w:color="auto" w:fill="FFFFFF"/>
        </w:rPr>
      </w:pPr>
      <w:r w:rsidRPr="00AE0D77">
        <w:rPr>
          <w:rFonts w:eastAsia="標楷體"/>
          <w:sz w:val="28"/>
          <w:szCs w:val="28"/>
        </w:rPr>
        <w:t>今年</w:t>
      </w:r>
      <w:r w:rsidRPr="00AE0D77">
        <w:rPr>
          <w:rFonts w:eastAsia="標楷體"/>
          <w:sz w:val="28"/>
          <w:szCs w:val="28"/>
        </w:rPr>
        <w:t>4</w:t>
      </w:r>
      <w:r w:rsidRPr="00AE0D77">
        <w:rPr>
          <w:rFonts w:eastAsia="標楷體"/>
          <w:sz w:val="28"/>
          <w:szCs w:val="28"/>
        </w:rPr>
        <w:t>月商品出口額為</w:t>
      </w:r>
      <w:r w:rsidRPr="00AE0D77">
        <w:rPr>
          <w:rFonts w:eastAsia="標楷體"/>
          <w:sz w:val="28"/>
          <w:szCs w:val="28"/>
        </w:rPr>
        <w:t>1,269.4</w:t>
      </w:r>
      <w:r w:rsidRPr="00AE0D77">
        <w:rPr>
          <w:rFonts w:eastAsia="標楷體"/>
          <w:sz w:val="28"/>
          <w:szCs w:val="28"/>
        </w:rPr>
        <w:t>億美元，較上年同期增加</w:t>
      </w:r>
      <w:r w:rsidRPr="00AE0D77">
        <w:rPr>
          <w:rFonts w:eastAsia="標楷體"/>
          <w:sz w:val="28"/>
          <w:szCs w:val="28"/>
        </w:rPr>
        <w:t>6.0%</w:t>
      </w:r>
      <w:r w:rsidRPr="00AE0D77">
        <w:rPr>
          <w:rFonts w:eastAsia="標楷體"/>
          <w:sz w:val="28"/>
          <w:szCs w:val="28"/>
        </w:rPr>
        <w:t>，進口額為</w:t>
      </w:r>
      <w:r w:rsidRPr="00AE0D77">
        <w:rPr>
          <w:rFonts w:eastAsia="標楷體"/>
          <w:sz w:val="28"/>
          <w:szCs w:val="28"/>
        </w:rPr>
        <w:t>1,953.2</w:t>
      </w:r>
      <w:r w:rsidRPr="00AE0D77">
        <w:rPr>
          <w:rFonts w:eastAsia="標楷體"/>
          <w:sz w:val="28"/>
          <w:szCs w:val="28"/>
        </w:rPr>
        <w:t>億美元，增加</w:t>
      </w:r>
      <w:r w:rsidRPr="00AE0D77">
        <w:rPr>
          <w:rFonts w:eastAsia="標楷體"/>
          <w:sz w:val="28"/>
          <w:szCs w:val="28"/>
        </w:rPr>
        <w:t>9.3%</w:t>
      </w:r>
      <w:r w:rsidRPr="00AE0D77">
        <w:rPr>
          <w:rFonts w:eastAsia="標楷體"/>
          <w:sz w:val="28"/>
          <w:szCs w:val="28"/>
        </w:rPr>
        <w:t>，貿易入超</w:t>
      </w:r>
      <w:r w:rsidRPr="00AE0D77">
        <w:rPr>
          <w:rFonts w:eastAsia="標楷體"/>
          <w:sz w:val="28"/>
          <w:szCs w:val="28"/>
        </w:rPr>
        <w:t>683.8</w:t>
      </w:r>
      <w:r w:rsidRPr="00AE0D77">
        <w:rPr>
          <w:rFonts w:eastAsia="標楷體"/>
          <w:sz w:val="28"/>
          <w:szCs w:val="28"/>
        </w:rPr>
        <w:t>億美元。今年</w:t>
      </w:r>
      <w:r w:rsidRPr="00AE0D77">
        <w:rPr>
          <w:rFonts w:eastAsia="標楷體"/>
          <w:sz w:val="28"/>
          <w:szCs w:val="28"/>
        </w:rPr>
        <w:t>5</w:t>
      </w:r>
      <w:r w:rsidRPr="00AE0D77">
        <w:rPr>
          <w:rFonts w:eastAsia="標楷體"/>
          <w:sz w:val="28"/>
          <w:szCs w:val="28"/>
        </w:rPr>
        <w:t>月消費者物價上漲</w:t>
      </w:r>
      <w:r w:rsidRPr="00AE0D77">
        <w:rPr>
          <w:rFonts w:eastAsia="標楷體"/>
          <w:sz w:val="28"/>
          <w:szCs w:val="28"/>
        </w:rPr>
        <w:t>1.9%</w:t>
      </w:r>
      <w:r w:rsidRPr="00AE0D77">
        <w:rPr>
          <w:rFonts w:eastAsia="標楷體"/>
          <w:sz w:val="28"/>
          <w:szCs w:val="28"/>
        </w:rPr>
        <w:t>；非農就業增加</w:t>
      </w:r>
      <w:r w:rsidRPr="00AE0D77">
        <w:rPr>
          <w:rFonts w:eastAsia="標楷體"/>
          <w:sz w:val="28"/>
          <w:szCs w:val="28"/>
        </w:rPr>
        <w:t>13.8</w:t>
      </w:r>
      <w:r w:rsidRPr="00AE0D77">
        <w:rPr>
          <w:rFonts w:eastAsia="標楷體"/>
          <w:sz w:val="28"/>
          <w:szCs w:val="28"/>
        </w:rPr>
        <w:t>萬人，失業率</w:t>
      </w:r>
      <w:r w:rsidRPr="00AE0D77">
        <w:rPr>
          <w:rFonts w:eastAsia="標楷體"/>
          <w:sz w:val="28"/>
          <w:szCs w:val="28"/>
        </w:rPr>
        <w:t>4.3%</w:t>
      </w:r>
      <w:r w:rsidRPr="00AE0D77">
        <w:rPr>
          <w:rFonts w:eastAsia="標楷體"/>
          <w:sz w:val="28"/>
          <w:szCs w:val="28"/>
        </w:rPr>
        <w:t>；工業生產零成長。</w:t>
      </w:r>
    </w:p>
    <w:p w:rsidR="009F3ED4" w:rsidRPr="00AE0D77" w:rsidRDefault="009F3ED4">
      <w:pPr>
        <w:widowControl/>
        <w:rPr>
          <w:rFonts w:eastAsia="標楷體"/>
          <w:b/>
          <w:kern w:val="0"/>
          <w:sz w:val="28"/>
          <w:szCs w:val="32"/>
          <w:lang w:val="zh-TW"/>
        </w:rPr>
      </w:pPr>
      <w:r w:rsidRPr="00AE0D77">
        <w:rPr>
          <w:rFonts w:eastAsia="標楷體"/>
          <w:b/>
          <w:kern w:val="0"/>
          <w:sz w:val="28"/>
          <w:szCs w:val="32"/>
          <w:lang w:val="zh-TW"/>
        </w:rPr>
        <w:br w:type="page"/>
      </w:r>
    </w:p>
    <w:p w:rsidR="00D86850" w:rsidRPr="00AE0D77" w:rsidRDefault="00D86850" w:rsidP="00D86850">
      <w:pPr>
        <w:widowControl/>
        <w:jc w:val="center"/>
        <w:rPr>
          <w:rFonts w:eastAsia="標楷體"/>
          <w:b/>
          <w:kern w:val="0"/>
          <w:sz w:val="28"/>
          <w:szCs w:val="20"/>
        </w:rPr>
      </w:pPr>
      <w:r w:rsidRPr="00AE0D77">
        <w:rPr>
          <w:rFonts w:eastAsia="標楷體"/>
          <w:b/>
          <w:kern w:val="0"/>
          <w:sz w:val="28"/>
          <w:szCs w:val="32"/>
          <w:lang w:val="zh-TW"/>
        </w:rPr>
        <w:lastRenderedPageBreak/>
        <w:t>表</w:t>
      </w:r>
      <w:r w:rsidRPr="00AE0D77">
        <w:rPr>
          <w:rFonts w:eastAsia="標楷體"/>
          <w:b/>
          <w:kern w:val="0"/>
          <w:sz w:val="28"/>
          <w:szCs w:val="32"/>
          <w:lang w:val="zh-TW"/>
        </w:rPr>
        <w:t xml:space="preserve">1-1   </w:t>
      </w:r>
      <w:r w:rsidRPr="00AE0D77">
        <w:rPr>
          <w:rFonts w:eastAsia="標楷體"/>
          <w:b/>
          <w:kern w:val="0"/>
          <w:sz w:val="28"/>
          <w:szCs w:val="32"/>
          <w:lang w:val="zh-TW"/>
        </w:rPr>
        <w:t>美國重要經濟指標</w:t>
      </w:r>
    </w:p>
    <w:p w:rsidR="00FF38F9" w:rsidRPr="00AE0D77" w:rsidRDefault="00D86850" w:rsidP="00FF38F9">
      <w:pPr>
        <w:tabs>
          <w:tab w:val="left" w:pos="6840"/>
        </w:tabs>
        <w:snapToGrid w:val="0"/>
        <w:jc w:val="right"/>
        <w:rPr>
          <w:rFonts w:eastAsia="標楷體"/>
          <w:bCs/>
          <w:sz w:val="22"/>
          <w:szCs w:val="28"/>
        </w:rPr>
      </w:pPr>
      <w:r w:rsidRPr="00AE0D77">
        <w:rPr>
          <w:rFonts w:eastAsia="標楷體"/>
          <w:bCs/>
          <w:sz w:val="28"/>
          <w:szCs w:val="32"/>
          <w:lang w:val="zh-TW"/>
        </w:rPr>
        <w:t xml:space="preserve">          </w:t>
      </w:r>
      <w:r w:rsidR="00FF38F9" w:rsidRPr="00AE0D77">
        <w:rPr>
          <w:rFonts w:eastAsia="標楷體"/>
          <w:bCs/>
          <w:sz w:val="22"/>
          <w:szCs w:val="28"/>
          <w:lang w:val="zh-TW"/>
        </w:rPr>
        <w:t>單位：億美元；</w:t>
      </w:r>
      <w:r w:rsidR="00FF38F9" w:rsidRPr="00AE0D7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9F3ED4" w:rsidRPr="00AE0D77" w:rsidTr="00FC4D3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年</w:t>
            </w:r>
            <w:r w:rsidRPr="00AE0D77">
              <w:rPr>
                <w:rFonts w:eastAsia="標楷體"/>
                <w:bCs/>
                <w:sz w:val="22"/>
              </w:rPr>
              <w:t>(</w:t>
            </w:r>
            <w:r w:rsidRPr="00AE0D77">
              <w:rPr>
                <w:rFonts w:eastAsia="標楷體"/>
                <w:bCs/>
                <w:sz w:val="22"/>
                <w:lang w:val="zh-TW"/>
              </w:rPr>
              <w:t>月</w:t>
            </w:r>
            <w:r w:rsidRPr="00AE0D77">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實質</w:t>
            </w:r>
          </w:p>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工業</w:t>
            </w:r>
          </w:p>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szCs w:val="20"/>
              </w:rPr>
            </w:pPr>
            <w:r w:rsidRPr="00AE0D77">
              <w:rPr>
                <w:rFonts w:eastAsia="標楷體"/>
                <w:bCs/>
                <w:sz w:val="22"/>
                <w:szCs w:val="20"/>
              </w:rPr>
              <w:t>貿</w:t>
            </w:r>
            <w:r w:rsidRPr="00AE0D77">
              <w:rPr>
                <w:rFonts w:eastAsia="標楷體"/>
                <w:bCs/>
                <w:sz w:val="22"/>
                <w:szCs w:val="20"/>
              </w:rPr>
              <w:t xml:space="preserve">    </w:t>
            </w:r>
            <w:r w:rsidRPr="00AE0D7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lang w:val="zh-TW"/>
              </w:rPr>
            </w:pPr>
            <w:r w:rsidRPr="00AE0D77">
              <w:rPr>
                <w:rFonts w:eastAsia="標楷體"/>
                <w:bCs/>
                <w:sz w:val="22"/>
                <w:lang w:val="zh-TW"/>
              </w:rPr>
              <w:t>消費者</w:t>
            </w:r>
          </w:p>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失業率</w:t>
            </w:r>
          </w:p>
        </w:tc>
      </w:tr>
      <w:tr w:rsidR="009F3ED4" w:rsidRPr="00AE0D77" w:rsidTr="00FC4D3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F3ED4" w:rsidRPr="00AE0D77" w:rsidRDefault="009F3ED4" w:rsidP="00FC4D3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9F3ED4" w:rsidRPr="00AE0D77" w:rsidRDefault="009F3ED4" w:rsidP="009F3ED4">
            <w:pPr>
              <w:tabs>
                <w:tab w:val="left" w:pos="6840"/>
              </w:tabs>
              <w:autoSpaceDE w:val="0"/>
              <w:autoSpaceDN w:val="0"/>
              <w:adjustRightInd w:val="0"/>
              <w:snapToGrid w:val="0"/>
              <w:spacing w:beforeLines="30" w:before="108" w:line="240" w:lineRule="atLeast"/>
              <w:jc w:val="center"/>
              <w:rPr>
                <w:rFonts w:eastAsia="標楷體"/>
                <w:bCs/>
                <w:sz w:val="22"/>
              </w:rPr>
            </w:pPr>
            <w:r w:rsidRPr="00AE0D7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F3ED4" w:rsidRPr="00AE0D77" w:rsidRDefault="009F3ED4" w:rsidP="00FC4D38">
            <w:pPr>
              <w:widowControl/>
              <w:rPr>
                <w:rFonts w:eastAsia="標楷體"/>
                <w:bCs/>
                <w:sz w:val="22"/>
              </w:rPr>
            </w:pPr>
          </w:p>
        </w:tc>
      </w:tr>
      <w:tr w:rsidR="009F3ED4" w:rsidRPr="00AE0D77" w:rsidTr="00FC4D3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F3ED4" w:rsidRPr="00AE0D77" w:rsidRDefault="009F3ED4" w:rsidP="00FC4D3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F3ED4" w:rsidRPr="00AE0D77" w:rsidRDefault="009F3ED4"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F3ED4" w:rsidRPr="00AE0D77" w:rsidRDefault="009F3ED4" w:rsidP="00FC4D3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F3ED4" w:rsidRPr="00AE0D77" w:rsidRDefault="009F3ED4" w:rsidP="00FC4D38">
            <w:pPr>
              <w:widowControl/>
              <w:rPr>
                <w:rFonts w:eastAsia="標楷體"/>
                <w:bCs/>
                <w:sz w:val="22"/>
              </w:rPr>
            </w:pPr>
          </w:p>
        </w:tc>
      </w:tr>
      <w:tr w:rsidR="009F3ED4" w:rsidRPr="00AE0D77" w:rsidTr="00FC4D38">
        <w:trPr>
          <w:cantSplit/>
        </w:trPr>
        <w:tc>
          <w:tcPr>
            <w:tcW w:w="1288" w:type="dxa"/>
            <w:tcBorders>
              <w:top w:val="nil"/>
              <w:left w:val="nil"/>
              <w:bottom w:val="nil"/>
              <w:right w:val="single" w:sz="6" w:space="0" w:color="auto"/>
            </w:tcBorders>
            <w:shd w:val="clear" w:color="auto" w:fill="auto"/>
            <w:hideMark/>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2012</w:t>
            </w:r>
            <w:r w:rsidRPr="00AE0D77">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2.2</w:t>
            </w:r>
          </w:p>
        </w:tc>
        <w:tc>
          <w:tcPr>
            <w:tcW w:w="844"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2.8</w:t>
            </w:r>
          </w:p>
        </w:tc>
        <w:tc>
          <w:tcPr>
            <w:tcW w:w="840"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15,625.8</w:t>
            </w:r>
          </w:p>
        </w:tc>
        <w:tc>
          <w:tcPr>
            <w:tcW w:w="784"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4.2</w:t>
            </w:r>
          </w:p>
        </w:tc>
        <w:tc>
          <w:tcPr>
            <w:tcW w:w="853"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23,037.5</w:t>
            </w:r>
          </w:p>
        </w:tc>
        <w:tc>
          <w:tcPr>
            <w:tcW w:w="784"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2.9</w:t>
            </w:r>
          </w:p>
        </w:tc>
        <w:tc>
          <w:tcPr>
            <w:tcW w:w="910"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-7,411.7</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2.1</w:t>
            </w:r>
          </w:p>
        </w:tc>
        <w:tc>
          <w:tcPr>
            <w:tcW w:w="835" w:type="dxa"/>
            <w:tcBorders>
              <w:top w:val="nil"/>
              <w:left w:val="single" w:sz="6" w:space="0" w:color="auto"/>
              <w:bottom w:val="nil"/>
              <w:right w:val="nil"/>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8.1</w:t>
            </w:r>
          </w:p>
        </w:tc>
      </w:tr>
      <w:tr w:rsidR="009F3ED4" w:rsidRPr="00AE0D77" w:rsidTr="00FC4D38">
        <w:trPr>
          <w:cantSplit/>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2013</w:t>
            </w:r>
            <w:r w:rsidRPr="00AE0D77">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1.5</w:t>
            </w:r>
          </w:p>
        </w:tc>
        <w:tc>
          <w:tcPr>
            <w:tcW w:w="844"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1.9</w:t>
            </w:r>
          </w:p>
        </w:tc>
        <w:tc>
          <w:tcPr>
            <w:tcW w:w="840"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15,920.0</w:t>
            </w:r>
          </w:p>
        </w:tc>
        <w:tc>
          <w:tcPr>
            <w:tcW w:w="784"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1.9</w:t>
            </w:r>
          </w:p>
        </w:tc>
        <w:tc>
          <w:tcPr>
            <w:tcW w:w="853"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22,942.5</w:t>
            </w:r>
          </w:p>
        </w:tc>
        <w:tc>
          <w:tcPr>
            <w:tcW w:w="784"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-0.4</w:t>
            </w:r>
          </w:p>
        </w:tc>
        <w:tc>
          <w:tcPr>
            <w:tcW w:w="910" w:type="dxa"/>
            <w:tcBorders>
              <w:top w:val="nil"/>
              <w:left w:val="single" w:sz="6" w:space="0" w:color="auto"/>
              <w:bottom w:val="nil"/>
              <w:right w:val="single" w:sz="6" w:space="0" w:color="auto"/>
            </w:tcBorders>
            <w:shd w:val="clear" w:color="auto" w:fill="auto"/>
            <w:vAlign w:val="center"/>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-7,022.4</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1.5</w:t>
            </w:r>
          </w:p>
        </w:tc>
        <w:tc>
          <w:tcPr>
            <w:tcW w:w="835" w:type="dxa"/>
            <w:tcBorders>
              <w:top w:val="nil"/>
              <w:left w:val="single" w:sz="6" w:space="0" w:color="auto"/>
              <w:bottom w:val="nil"/>
              <w:right w:val="nil"/>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7.4</w:t>
            </w:r>
          </w:p>
        </w:tc>
      </w:tr>
      <w:tr w:rsidR="009F3ED4" w:rsidRPr="00AE0D77" w:rsidTr="00FC4D38">
        <w:trPr>
          <w:cantSplit/>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2014</w:t>
            </w:r>
            <w:r w:rsidRPr="00AE0D77">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2.4</w:t>
            </w: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2.9</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16,333.2</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23,854.9</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-7,022.4</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1.6</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6.2</w:t>
            </w:r>
          </w:p>
        </w:tc>
      </w:tr>
      <w:tr w:rsidR="009F3ED4" w:rsidRPr="00AE0D77" w:rsidTr="00FC4D38">
        <w:trPr>
          <w:cantSplit/>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2015</w:t>
            </w:r>
            <w:r w:rsidRPr="00AE0D77">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highlight w:val="yellow"/>
              </w:rPr>
            </w:pPr>
            <w:r w:rsidRPr="00AE0D77">
              <w:rPr>
                <w:rFonts w:eastAsia="標楷體"/>
                <w:bCs/>
                <w:sz w:val="22"/>
              </w:rPr>
              <w:t>2.6</w:t>
            </w: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highlight w:val="yellow"/>
              </w:rPr>
            </w:pPr>
            <w:r w:rsidRPr="00AE0D77">
              <w:rPr>
                <w:rFonts w:eastAsia="標楷體"/>
                <w:sz w:val="22"/>
              </w:rPr>
              <w:t>0.3</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15,103.0</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-7.5</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22,728.7</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-4.7</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-7,625.7</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highlight w:val="yellow"/>
              </w:rPr>
            </w:pPr>
            <w:r w:rsidRPr="00AE0D77">
              <w:rPr>
                <w:rFonts w:eastAsia="標楷體"/>
                <w:sz w:val="22"/>
              </w:rPr>
              <w:t>0.1</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highlight w:val="yellow"/>
              </w:rPr>
            </w:pPr>
            <w:r w:rsidRPr="00AE0D77">
              <w:rPr>
                <w:rFonts w:eastAsia="標楷體"/>
                <w:bCs/>
                <w:sz w:val="22"/>
              </w:rPr>
              <w:t>5.3</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2016</w:t>
            </w:r>
            <w:r w:rsidRPr="00AE0D77">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1.6</w:t>
            </w: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-1.0</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14,598.4</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3.3</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22,099.2</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-2.8</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-7,500.7</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1.3</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4.9</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4</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-1.4</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1,198.6</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-7.1</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1,786.4</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-7.0</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-587.8</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1.1</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5.0</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5</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-1.3</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1,192.9</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-6.5</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1,821.1</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-4.1</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-628.2</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1.0</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4.7</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6</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1.4 (II)</w:t>
            </w: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-0.6</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1,203.0</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-5.5</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1,864.8</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-3.2</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-661.8</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1.0</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4.9</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7</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-0.7</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1,237.7</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-3.0</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1,844.7</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-2.4</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-607.0</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0.8</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4.9</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8</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-1.3</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1,250.3</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0.6</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1,856.4</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-2.4</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-606.1</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1.1</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4.9</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9</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3.5 (III)</w:t>
            </w: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-1.0</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1,263.7</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0.9</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1,838.1</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-2.0</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-574.4</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1.5</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5.0</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10</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-0.9</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1,228.1</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-0.4</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1,863.8</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0.1</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-635.7</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1.6</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4.9</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11</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-0.6</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1,221.4</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0.7</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1,890.6</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2.9</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-669.2</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1.7</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4.6</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12</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2.1(IV)</w:t>
            </w: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0.5</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1,269.3</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5.2</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1,926.4</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4.8</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-657.1</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2.1</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4.7</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2017</w:t>
            </w:r>
            <w:r w:rsidRPr="00AE0D77">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5,106.3</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7.8</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7,793.2</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8.2</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-2,686.9</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bCs/>
                <w:sz w:val="22"/>
              </w:rPr>
            </w:pPr>
            <w:r w:rsidRPr="00AE0D77">
              <w:rPr>
                <w:rFonts w:eastAsia="標楷體"/>
                <w:bCs/>
                <w:sz w:val="22"/>
              </w:rPr>
              <w:t>2.5</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4.6</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1</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0.0</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1,280.1</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9.8</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1,970.2</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9.0</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-689.6</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2.5</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4.8</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2</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0.3</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1,281.5</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7.6</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1,934.4</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4.8</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-652.9</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2.7</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4.7</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3</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r w:rsidRPr="00AE0D77">
              <w:rPr>
                <w:rFonts w:eastAsia="標楷體"/>
                <w:bCs/>
                <w:sz w:val="22"/>
              </w:rPr>
              <w:t>1.2(I)</w:t>
            </w: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1.5</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1,274.8</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8.1</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1,935.4</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10.0</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-660.6</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2.4</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4.5</w:t>
            </w:r>
          </w:p>
        </w:tc>
      </w:tr>
      <w:tr w:rsidR="009F3ED4" w:rsidRPr="00AE0D77" w:rsidTr="00FC4D38">
        <w:trPr>
          <w:cantSplit/>
          <w:trHeight w:val="201"/>
        </w:trPr>
        <w:tc>
          <w:tcPr>
            <w:tcW w:w="1288" w:type="dxa"/>
            <w:tcBorders>
              <w:top w:val="nil"/>
              <w:left w:val="nil"/>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4</w:t>
            </w:r>
            <w:r w:rsidRPr="00AE0D77">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2.2</w:t>
            </w:r>
          </w:p>
        </w:tc>
        <w:tc>
          <w:tcPr>
            <w:tcW w:w="84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1,269.4</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6.0</w:t>
            </w:r>
          </w:p>
        </w:tc>
        <w:tc>
          <w:tcPr>
            <w:tcW w:w="853"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1,953.2</w:t>
            </w:r>
          </w:p>
        </w:tc>
        <w:tc>
          <w:tcPr>
            <w:tcW w:w="78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9.3</w:t>
            </w:r>
          </w:p>
        </w:tc>
        <w:tc>
          <w:tcPr>
            <w:tcW w:w="910"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rPr>
            </w:pPr>
            <w:r w:rsidRPr="00AE0D77">
              <w:rPr>
                <w:rFonts w:eastAsia="標楷體"/>
              </w:rPr>
              <w:t>-683.8</w:t>
            </w:r>
          </w:p>
        </w:tc>
        <w:tc>
          <w:tcPr>
            <w:tcW w:w="854" w:type="dxa"/>
            <w:tcBorders>
              <w:top w:val="nil"/>
              <w:left w:val="single" w:sz="6" w:space="0" w:color="auto"/>
              <w:bottom w:val="nil"/>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2.2</w:t>
            </w:r>
          </w:p>
        </w:tc>
        <w:tc>
          <w:tcPr>
            <w:tcW w:w="835" w:type="dxa"/>
            <w:tcBorders>
              <w:top w:val="nil"/>
              <w:left w:val="single" w:sz="6" w:space="0" w:color="auto"/>
              <w:bottom w:val="nil"/>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4.4</w:t>
            </w:r>
          </w:p>
        </w:tc>
      </w:tr>
      <w:tr w:rsidR="009F3ED4" w:rsidRPr="00AE0D77" w:rsidTr="00FC4D38">
        <w:trPr>
          <w:cantSplit/>
          <w:trHeight w:val="201"/>
        </w:trPr>
        <w:tc>
          <w:tcPr>
            <w:tcW w:w="1288" w:type="dxa"/>
            <w:tcBorders>
              <w:top w:val="nil"/>
              <w:left w:val="nil"/>
              <w:bottom w:val="single" w:sz="6" w:space="0" w:color="auto"/>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ind w:firstLineChars="200" w:firstLine="440"/>
              <w:rPr>
                <w:rFonts w:eastAsia="標楷體"/>
                <w:bCs/>
                <w:sz w:val="22"/>
              </w:rPr>
            </w:pPr>
            <w:r w:rsidRPr="00AE0D77">
              <w:rPr>
                <w:rFonts w:eastAsia="標楷體"/>
                <w:bCs/>
                <w:sz w:val="22"/>
              </w:rPr>
              <w:t>5</w:t>
            </w:r>
            <w:r w:rsidRPr="00AE0D77">
              <w:rPr>
                <w:rFonts w:eastAsia="標楷體"/>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9F3ED4" w:rsidRPr="00AE0D77" w:rsidRDefault="009F3ED4" w:rsidP="00FC4D3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0.0</w:t>
            </w:r>
          </w:p>
        </w:tc>
        <w:tc>
          <w:tcPr>
            <w:tcW w:w="840" w:type="dxa"/>
            <w:tcBorders>
              <w:top w:val="nil"/>
              <w:left w:val="single" w:sz="6" w:space="0" w:color="auto"/>
              <w:bottom w:val="single" w:sz="6" w:space="0" w:color="auto"/>
              <w:right w:val="single" w:sz="6" w:space="0" w:color="auto"/>
            </w:tcBorders>
            <w:shd w:val="clear" w:color="auto" w:fill="auto"/>
            <w:vAlign w:val="center"/>
          </w:tcPr>
          <w:p w:rsidR="009F3ED4" w:rsidRPr="00AE0D77" w:rsidRDefault="009F3ED4" w:rsidP="00FC4D38">
            <w:pPr>
              <w:jc w:val="center"/>
              <w:rPr>
                <w:rFonts w:eastAsia="標楷體"/>
              </w:rPr>
            </w:pPr>
            <w:r w:rsidRPr="00AE0D77">
              <w:rPr>
                <w:rFonts w:eastAsia="標楷體"/>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9F3ED4" w:rsidRPr="00AE0D77" w:rsidRDefault="009F3ED4" w:rsidP="00FC4D38">
            <w:pPr>
              <w:jc w:val="center"/>
              <w:rPr>
                <w:rFonts w:eastAsia="標楷體"/>
              </w:rPr>
            </w:pPr>
            <w:r w:rsidRPr="00AE0D77">
              <w:rPr>
                <w:rFonts w:eastAsia="標楷體"/>
              </w:rPr>
              <w:t>-</w:t>
            </w:r>
          </w:p>
        </w:tc>
        <w:tc>
          <w:tcPr>
            <w:tcW w:w="853" w:type="dxa"/>
            <w:tcBorders>
              <w:top w:val="nil"/>
              <w:left w:val="single" w:sz="6" w:space="0" w:color="auto"/>
              <w:bottom w:val="single" w:sz="6" w:space="0" w:color="auto"/>
              <w:right w:val="single" w:sz="6" w:space="0" w:color="auto"/>
            </w:tcBorders>
            <w:shd w:val="clear" w:color="auto" w:fill="auto"/>
            <w:vAlign w:val="center"/>
          </w:tcPr>
          <w:p w:rsidR="009F3ED4" w:rsidRPr="00AE0D77" w:rsidRDefault="009F3ED4" w:rsidP="00FC4D38">
            <w:pPr>
              <w:jc w:val="center"/>
              <w:rPr>
                <w:rFonts w:eastAsia="標楷體"/>
              </w:rPr>
            </w:pPr>
            <w:r w:rsidRPr="00AE0D77">
              <w:rPr>
                <w:rFonts w:eastAsia="標楷體"/>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9F3ED4" w:rsidRPr="00AE0D77" w:rsidRDefault="009F3ED4" w:rsidP="00FC4D38">
            <w:pPr>
              <w:jc w:val="center"/>
              <w:rPr>
                <w:rFonts w:eastAsia="標楷體"/>
              </w:rPr>
            </w:pPr>
            <w:r w:rsidRPr="00AE0D77">
              <w:rPr>
                <w:rFonts w:eastAsia="標楷體"/>
              </w:rPr>
              <w:t>-</w:t>
            </w:r>
          </w:p>
        </w:tc>
        <w:tc>
          <w:tcPr>
            <w:tcW w:w="910" w:type="dxa"/>
            <w:tcBorders>
              <w:top w:val="nil"/>
              <w:left w:val="single" w:sz="6" w:space="0" w:color="auto"/>
              <w:bottom w:val="single" w:sz="6" w:space="0" w:color="auto"/>
              <w:right w:val="single" w:sz="6" w:space="0" w:color="auto"/>
            </w:tcBorders>
            <w:shd w:val="clear" w:color="auto" w:fill="auto"/>
            <w:vAlign w:val="center"/>
          </w:tcPr>
          <w:p w:rsidR="009F3ED4" w:rsidRPr="00AE0D77" w:rsidRDefault="009F3ED4" w:rsidP="00FC4D38">
            <w:pPr>
              <w:jc w:val="center"/>
              <w:rPr>
                <w:rFonts w:eastAsia="標楷體"/>
              </w:rPr>
            </w:pPr>
            <w:r w:rsidRPr="00AE0D77">
              <w:rPr>
                <w:rFonts w:eastAsia="標楷體"/>
              </w:rPr>
              <w:t>-</w:t>
            </w:r>
          </w:p>
        </w:tc>
        <w:tc>
          <w:tcPr>
            <w:tcW w:w="854" w:type="dxa"/>
            <w:tcBorders>
              <w:top w:val="nil"/>
              <w:left w:val="single" w:sz="6" w:space="0" w:color="auto"/>
              <w:bottom w:val="single" w:sz="6" w:space="0" w:color="auto"/>
              <w:right w:val="single" w:sz="6" w:space="0" w:color="auto"/>
            </w:tcBorders>
            <w:shd w:val="clear" w:color="auto" w:fill="auto"/>
          </w:tcPr>
          <w:p w:rsidR="009F3ED4" w:rsidRPr="00AE0D77" w:rsidRDefault="009F3ED4" w:rsidP="00FC4D38">
            <w:pPr>
              <w:jc w:val="center"/>
              <w:rPr>
                <w:rFonts w:eastAsia="標楷體"/>
                <w:sz w:val="22"/>
              </w:rPr>
            </w:pPr>
            <w:r w:rsidRPr="00AE0D77">
              <w:rPr>
                <w:rFonts w:eastAsia="標楷體"/>
                <w:sz w:val="22"/>
              </w:rPr>
              <w:t>1.9</w:t>
            </w:r>
          </w:p>
        </w:tc>
        <w:tc>
          <w:tcPr>
            <w:tcW w:w="835" w:type="dxa"/>
            <w:tcBorders>
              <w:top w:val="nil"/>
              <w:left w:val="single" w:sz="6" w:space="0" w:color="auto"/>
              <w:bottom w:val="single" w:sz="6" w:space="0" w:color="auto"/>
              <w:right w:val="nil"/>
            </w:tcBorders>
            <w:shd w:val="clear" w:color="auto" w:fill="auto"/>
            <w:vAlign w:val="center"/>
          </w:tcPr>
          <w:p w:rsidR="009F3ED4" w:rsidRPr="00AE0D77" w:rsidRDefault="009F3ED4" w:rsidP="00FC4D38">
            <w:pPr>
              <w:tabs>
                <w:tab w:val="left" w:pos="6840"/>
              </w:tabs>
              <w:autoSpaceDE w:val="0"/>
              <w:autoSpaceDN w:val="0"/>
              <w:adjustRightInd w:val="0"/>
              <w:snapToGrid w:val="0"/>
              <w:jc w:val="center"/>
              <w:rPr>
                <w:rFonts w:eastAsia="標楷體"/>
                <w:bCs/>
                <w:sz w:val="22"/>
              </w:rPr>
            </w:pPr>
            <w:r w:rsidRPr="00AE0D77">
              <w:rPr>
                <w:rFonts w:eastAsia="標楷體"/>
                <w:bCs/>
                <w:sz w:val="22"/>
              </w:rPr>
              <w:t>4.3</w:t>
            </w:r>
          </w:p>
        </w:tc>
      </w:tr>
    </w:tbl>
    <w:p w:rsidR="00FF38F9" w:rsidRPr="00AE0D77" w:rsidRDefault="00FF38F9" w:rsidP="00FF38F9">
      <w:pPr>
        <w:tabs>
          <w:tab w:val="left" w:pos="6840"/>
        </w:tabs>
        <w:autoSpaceDE w:val="0"/>
        <w:autoSpaceDN w:val="0"/>
        <w:adjustRightInd w:val="0"/>
        <w:snapToGrid w:val="0"/>
        <w:spacing w:line="300" w:lineRule="exact"/>
        <w:jc w:val="both"/>
        <w:rPr>
          <w:rFonts w:eastAsia="標楷體"/>
          <w:bCs/>
          <w:sz w:val="22"/>
          <w:lang w:val="zh-TW"/>
        </w:rPr>
      </w:pPr>
      <w:r w:rsidRPr="00AE0D77">
        <w:rPr>
          <w:rFonts w:eastAsia="標楷體"/>
          <w:bCs/>
          <w:sz w:val="22"/>
          <w:lang w:val="zh-TW"/>
        </w:rPr>
        <w:t>註：</w:t>
      </w:r>
      <w:r w:rsidRPr="00AE0D77">
        <w:rPr>
          <w:rFonts w:eastAsia="標楷體"/>
          <w:bCs/>
          <w:sz w:val="22"/>
          <w:lang w:val="zh-TW"/>
        </w:rPr>
        <w:t>GDP</w:t>
      </w:r>
      <w:r w:rsidRPr="00AE0D77">
        <w:rPr>
          <w:rFonts w:eastAsia="標楷體"/>
          <w:bCs/>
          <w:sz w:val="22"/>
          <w:lang w:val="zh-TW"/>
        </w:rPr>
        <w:t>成長率係為當季較上季變動率轉換為年率。</w:t>
      </w:r>
    </w:p>
    <w:p w:rsidR="00D86850" w:rsidRPr="00AE0D77" w:rsidRDefault="00FF38F9" w:rsidP="00FF38F9">
      <w:pPr>
        <w:tabs>
          <w:tab w:val="left" w:pos="6840"/>
        </w:tabs>
        <w:snapToGrid w:val="0"/>
        <w:ind w:right="880"/>
        <w:rPr>
          <w:rFonts w:eastAsia="標楷體"/>
          <w:bCs/>
          <w:sz w:val="22"/>
          <w:lang w:val="zh-TW"/>
        </w:rPr>
      </w:pPr>
      <w:r w:rsidRPr="00AE0D77">
        <w:rPr>
          <w:rFonts w:eastAsia="標楷體"/>
          <w:bCs/>
          <w:sz w:val="22"/>
          <w:lang w:val="zh-TW"/>
        </w:rPr>
        <w:t>資料來源：美國商務部、美國勞工部。</w:t>
      </w:r>
    </w:p>
    <w:p w:rsidR="004009EA" w:rsidRPr="00AE0D77"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AE0D77" w:rsidRDefault="00BB12B0" w:rsidP="004009EA">
      <w:pPr>
        <w:tabs>
          <w:tab w:val="left" w:pos="6840"/>
        </w:tabs>
        <w:snapToGrid w:val="0"/>
        <w:jc w:val="right"/>
        <w:rPr>
          <w:rFonts w:eastAsia="標楷體"/>
          <w:b/>
          <w:bCs/>
          <w:sz w:val="32"/>
          <w:szCs w:val="32"/>
        </w:rPr>
      </w:pPr>
      <w:r w:rsidRPr="00AE0D77">
        <w:rPr>
          <w:rFonts w:eastAsia="標楷體"/>
        </w:rPr>
        <w:br w:type="page"/>
      </w:r>
    </w:p>
    <w:p w:rsidR="00681344" w:rsidRPr="00AE0D7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486347626"/>
      <w:r w:rsidRPr="00AE0D77">
        <w:lastRenderedPageBreak/>
        <w:t>（二）歐元區</w:t>
      </w:r>
      <w:bookmarkEnd w:id="74"/>
      <w:bookmarkEnd w:id="75"/>
      <w:bookmarkEnd w:id="76"/>
      <w:bookmarkEnd w:id="77"/>
    </w:p>
    <w:p w:rsidR="009F3ED4" w:rsidRPr="00AE0D77" w:rsidRDefault="009F3ED4" w:rsidP="009F3ED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E0D77">
        <w:rPr>
          <w:rFonts w:eastAsia="標楷體"/>
          <w:kern w:val="0"/>
          <w:sz w:val="28"/>
          <w:szCs w:val="28"/>
        </w:rPr>
        <w:t>歐盟統計局於今（</w:t>
      </w:r>
      <w:r w:rsidRPr="00AE0D77">
        <w:rPr>
          <w:rFonts w:eastAsia="標楷體"/>
          <w:kern w:val="0"/>
          <w:sz w:val="28"/>
          <w:szCs w:val="28"/>
        </w:rPr>
        <w:t>2017</w:t>
      </w:r>
      <w:r w:rsidRPr="00AE0D77">
        <w:rPr>
          <w:rFonts w:eastAsia="標楷體"/>
          <w:kern w:val="0"/>
          <w:sz w:val="28"/>
          <w:szCs w:val="28"/>
        </w:rPr>
        <w:t>）年</w:t>
      </w:r>
      <w:r w:rsidRPr="00AE0D77">
        <w:rPr>
          <w:rFonts w:eastAsia="標楷體"/>
          <w:kern w:val="0"/>
          <w:sz w:val="28"/>
          <w:szCs w:val="28"/>
        </w:rPr>
        <w:t>6</w:t>
      </w:r>
      <w:r w:rsidRPr="00AE0D77">
        <w:rPr>
          <w:rFonts w:eastAsia="標楷體"/>
          <w:kern w:val="0"/>
          <w:sz w:val="28"/>
          <w:szCs w:val="28"/>
        </w:rPr>
        <w:t>月</w:t>
      </w:r>
      <w:r w:rsidRPr="00AE0D77">
        <w:rPr>
          <w:rFonts w:eastAsia="標楷體"/>
          <w:kern w:val="0"/>
          <w:sz w:val="28"/>
          <w:szCs w:val="28"/>
        </w:rPr>
        <w:t>8</w:t>
      </w:r>
      <w:r w:rsidRPr="00AE0D77">
        <w:rPr>
          <w:rFonts w:eastAsia="標楷體"/>
          <w:kern w:val="0"/>
          <w:sz w:val="28"/>
          <w:szCs w:val="28"/>
        </w:rPr>
        <w:t>日公布第</w:t>
      </w:r>
      <w:r w:rsidRPr="00AE0D77">
        <w:rPr>
          <w:rFonts w:eastAsia="標楷體"/>
          <w:kern w:val="0"/>
          <w:sz w:val="28"/>
          <w:szCs w:val="28"/>
        </w:rPr>
        <w:t>1</w:t>
      </w:r>
      <w:r w:rsidRPr="00AE0D77">
        <w:rPr>
          <w:rFonts w:eastAsia="標楷體"/>
          <w:kern w:val="0"/>
          <w:sz w:val="28"/>
          <w:szCs w:val="28"/>
        </w:rPr>
        <w:t>季經濟成長率終值，歐元區</w:t>
      </w:r>
      <w:r w:rsidRPr="00AE0D77">
        <w:rPr>
          <w:rFonts w:eastAsia="標楷體"/>
          <w:kern w:val="0"/>
          <w:sz w:val="28"/>
          <w:szCs w:val="28"/>
        </w:rPr>
        <w:t>19</w:t>
      </w:r>
      <w:r w:rsidRPr="00AE0D77">
        <w:rPr>
          <w:rFonts w:eastAsia="標楷體"/>
          <w:kern w:val="0"/>
          <w:sz w:val="28"/>
          <w:szCs w:val="28"/>
        </w:rPr>
        <w:t>國及歐盟</w:t>
      </w:r>
      <w:r w:rsidRPr="00AE0D77">
        <w:rPr>
          <w:rFonts w:eastAsia="標楷體"/>
          <w:kern w:val="0"/>
          <w:sz w:val="28"/>
          <w:szCs w:val="28"/>
        </w:rPr>
        <w:t>28</w:t>
      </w:r>
      <w:r w:rsidRPr="00AE0D77">
        <w:rPr>
          <w:rFonts w:eastAsia="標楷體"/>
          <w:kern w:val="0"/>
          <w:sz w:val="28"/>
          <w:szCs w:val="28"/>
        </w:rPr>
        <w:t>國皆較上季成長</w:t>
      </w:r>
      <w:r w:rsidRPr="00AE0D77">
        <w:rPr>
          <w:rFonts w:eastAsia="標楷體"/>
          <w:kern w:val="0"/>
          <w:sz w:val="28"/>
          <w:szCs w:val="28"/>
        </w:rPr>
        <w:t>0.6 %</w:t>
      </w:r>
      <w:r w:rsidRPr="00AE0D77">
        <w:rPr>
          <w:rFonts w:eastAsia="標楷體"/>
          <w:kern w:val="0"/>
          <w:sz w:val="28"/>
          <w:szCs w:val="28"/>
        </w:rPr>
        <w:t>，與去（</w:t>
      </w:r>
      <w:r w:rsidRPr="00AE0D77">
        <w:rPr>
          <w:rFonts w:eastAsia="標楷體"/>
          <w:kern w:val="0"/>
          <w:sz w:val="28"/>
          <w:szCs w:val="28"/>
        </w:rPr>
        <w:t>2016</w:t>
      </w:r>
      <w:r w:rsidRPr="00AE0D77">
        <w:rPr>
          <w:rFonts w:eastAsia="標楷體"/>
          <w:kern w:val="0"/>
          <w:sz w:val="28"/>
          <w:szCs w:val="28"/>
        </w:rPr>
        <w:t>）年同期相比則成長</w:t>
      </w:r>
      <w:r w:rsidRPr="00AE0D77">
        <w:rPr>
          <w:rFonts w:eastAsia="標楷體"/>
          <w:kern w:val="0"/>
          <w:sz w:val="28"/>
          <w:szCs w:val="28"/>
        </w:rPr>
        <w:t>1.9</w:t>
      </w:r>
      <w:r w:rsidRPr="00AE0D77">
        <w:rPr>
          <w:rFonts w:eastAsia="標楷體"/>
          <w:kern w:val="0"/>
          <w:sz w:val="28"/>
          <w:szCs w:val="28"/>
        </w:rPr>
        <w:t>％及</w:t>
      </w:r>
      <w:r w:rsidRPr="00AE0D77">
        <w:rPr>
          <w:rFonts w:eastAsia="標楷體"/>
          <w:kern w:val="0"/>
          <w:sz w:val="28"/>
          <w:szCs w:val="28"/>
        </w:rPr>
        <w:t>2.1</w:t>
      </w:r>
      <w:r w:rsidRPr="00AE0D77">
        <w:rPr>
          <w:rFonts w:eastAsia="標楷體"/>
          <w:kern w:val="0"/>
          <w:sz w:val="28"/>
          <w:szCs w:val="28"/>
        </w:rPr>
        <w:t>％。其中歐元區家計單位最終消費支出較上年增加</w:t>
      </w:r>
      <w:r w:rsidRPr="00AE0D77">
        <w:rPr>
          <w:rFonts w:eastAsia="標楷體"/>
          <w:kern w:val="0"/>
          <w:sz w:val="28"/>
          <w:szCs w:val="28"/>
        </w:rPr>
        <w:t>1.9</w:t>
      </w:r>
      <w:r w:rsidRPr="00AE0D77">
        <w:rPr>
          <w:rFonts w:eastAsia="標楷體"/>
          <w:kern w:val="0"/>
          <w:sz w:val="28"/>
          <w:szCs w:val="28"/>
        </w:rPr>
        <w:t>％；政府最終消費支出增加</w:t>
      </w:r>
      <w:r w:rsidRPr="00AE0D77">
        <w:rPr>
          <w:rFonts w:eastAsia="標楷體"/>
          <w:kern w:val="0"/>
          <w:sz w:val="28"/>
          <w:szCs w:val="28"/>
        </w:rPr>
        <w:t>1.0</w:t>
      </w:r>
      <w:r w:rsidRPr="00AE0D77">
        <w:rPr>
          <w:rFonts w:eastAsia="標楷體"/>
          <w:kern w:val="0"/>
          <w:sz w:val="28"/>
          <w:szCs w:val="28"/>
        </w:rPr>
        <w:t>％；固定資本形成增加</w:t>
      </w:r>
      <w:r w:rsidRPr="00AE0D77">
        <w:rPr>
          <w:rFonts w:eastAsia="標楷體"/>
          <w:kern w:val="0"/>
          <w:sz w:val="28"/>
          <w:szCs w:val="28"/>
        </w:rPr>
        <w:t>6.0</w:t>
      </w:r>
      <w:r w:rsidRPr="00AE0D77">
        <w:rPr>
          <w:rFonts w:eastAsia="標楷體"/>
          <w:kern w:val="0"/>
          <w:sz w:val="28"/>
          <w:szCs w:val="28"/>
        </w:rPr>
        <w:t>％；出口及進口分別成長</w:t>
      </w:r>
      <w:r w:rsidRPr="00AE0D77">
        <w:rPr>
          <w:rFonts w:eastAsia="標楷體"/>
          <w:kern w:val="0"/>
          <w:sz w:val="28"/>
          <w:szCs w:val="28"/>
        </w:rPr>
        <w:t>4.6</w:t>
      </w:r>
      <w:r w:rsidRPr="00AE0D77">
        <w:rPr>
          <w:rFonts w:eastAsia="標楷體"/>
          <w:kern w:val="0"/>
          <w:sz w:val="28"/>
          <w:szCs w:val="28"/>
        </w:rPr>
        <w:t>％、</w:t>
      </w:r>
      <w:r w:rsidRPr="00AE0D77">
        <w:rPr>
          <w:rFonts w:eastAsia="標楷體"/>
          <w:kern w:val="0"/>
          <w:sz w:val="28"/>
          <w:szCs w:val="28"/>
        </w:rPr>
        <w:t>7.1</w:t>
      </w:r>
      <w:r w:rsidRPr="00AE0D77">
        <w:rPr>
          <w:rFonts w:eastAsia="標楷體"/>
          <w:kern w:val="0"/>
          <w:sz w:val="28"/>
          <w:szCs w:val="28"/>
        </w:rPr>
        <w:t>％。</w:t>
      </w:r>
    </w:p>
    <w:p w:rsidR="009F3ED4" w:rsidRPr="00AE0D77" w:rsidRDefault="009F3ED4" w:rsidP="009F3ED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E0D77">
        <w:rPr>
          <w:rFonts w:eastAsia="標楷體"/>
          <w:kern w:val="0"/>
          <w:sz w:val="28"/>
          <w:szCs w:val="28"/>
        </w:rPr>
        <w:t>今年</w:t>
      </w:r>
      <w:r w:rsidRPr="00AE0D77">
        <w:rPr>
          <w:rFonts w:eastAsia="標楷體"/>
          <w:kern w:val="0"/>
          <w:sz w:val="28"/>
          <w:szCs w:val="28"/>
        </w:rPr>
        <w:t>4</w:t>
      </w:r>
      <w:r w:rsidRPr="00AE0D77">
        <w:rPr>
          <w:rFonts w:eastAsia="標楷體"/>
          <w:kern w:val="0"/>
          <w:sz w:val="28"/>
          <w:szCs w:val="28"/>
        </w:rPr>
        <w:t>月歐元區出口額為</w:t>
      </w:r>
      <w:r w:rsidRPr="00AE0D77">
        <w:rPr>
          <w:rFonts w:eastAsia="標楷體"/>
          <w:kern w:val="0"/>
          <w:sz w:val="28"/>
          <w:szCs w:val="28"/>
        </w:rPr>
        <w:t>1,677</w:t>
      </w:r>
      <w:r w:rsidRPr="00AE0D77">
        <w:rPr>
          <w:rFonts w:eastAsia="標楷體"/>
          <w:kern w:val="0"/>
          <w:sz w:val="28"/>
          <w:szCs w:val="28"/>
        </w:rPr>
        <w:t>億歐元，較上年同期衰退</w:t>
      </w:r>
      <w:r w:rsidRPr="00AE0D77">
        <w:rPr>
          <w:rFonts w:eastAsia="標楷體"/>
          <w:kern w:val="0"/>
          <w:sz w:val="28"/>
          <w:szCs w:val="28"/>
        </w:rPr>
        <w:t>3.0</w:t>
      </w:r>
      <w:r w:rsidRPr="00AE0D77">
        <w:rPr>
          <w:rFonts w:eastAsia="標楷體"/>
          <w:kern w:val="0"/>
          <w:sz w:val="28"/>
          <w:szCs w:val="28"/>
        </w:rPr>
        <w:t>％，進口額為</w:t>
      </w:r>
      <w:r w:rsidRPr="00AE0D77">
        <w:rPr>
          <w:rFonts w:eastAsia="標楷體"/>
          <w:kern w:val="0"/>
          <w:sz w:val="28"/>
          <w:szCs w:val="28"/>
        </w:rPr>
        <w:t>1,498</w:t>
      </w:r>
      <w:r w:rsidRPr="00AE0D77">
        <w:rPr>
          <w:rFonts w:eastAsia="標楷體"/>
          <w:kern w:val="0"/>
          <w:sz w:val="28"/>
          <w:szCs w:val="28"/>
        </w:rPr>
        <w:t>億歐元，成長</w:t>
      </w:r>
      <w:r w:rsidRPr="00AE0D77">
        <w:rPr>
          <w:rFonts w:eastAsia="標楷體"/>
          <w:kern w:val="0"/>
          <w:sz w:val="28"/>
          <w:szCs w:val="28"/>
        </w:rPr>
        <w:t>3.0</w:t>
      </w:r>
      <w:r w:rsidRPr="00AE0D77">
        <w:rPr>
          <w:rFonts w:eastAsia="標楷體"/>
          <w:kern w:val="0"/>
          <w:sz w:val="28"/>
          <w:szCs w:val="28"/>
        </w:rPr>
        <w:t>％，貿易出超為</w:t>
      </w:r>
      <w:r w:rsidRPr="00AE0D77">
        <w:rPr>
          <w:rFonts w:eastAsia="標楷體"/>
          <w:kern w:val="0"/>
          <w:sz w:val="28"/>
          <w:szCs w:val="28"/>
        </w:rPr>
        <w:t>179</w:t>
      </w:r>
      <w:r w:rsidRPr="00AE0D77">
        <w:rPr>
          <w:rFonts w:eastAsia="標楷體"/>
          <w:kern w:val="0"/>
          <w:sz w:val="28"/>
          <w:szCs w:val="28"/>
        </w:rPr>
        <w:t>億歐元；工業生產較上月成長</w:t>
      </w:r>
      <w:r w:rsidRPr="00AE0D77">
        <w:rPr>
          <w:rFonts w:eastAsia="標楷體"/>
          <w:kern w:val="0"/>
          <w:sz w:val="28"/>
          <w:szCs w:val="28"/>
        </w:rPr>
        <w:t>0.5</w:t>
      </w:r>
      <w:r w:rsidRPr="00AE0D77">
        <w:rPr>
          <w:rFonts w:eastAsia="標楷體"/>
          <w:kern w:val="0"/>
          <w:sz w:val="28"/>
          <w:szCs w:val="28"/>
        </w:rPr>
        <w:t>％；失業率為</w:t>
      </w:r>
      <w:r w:rsidRPr="00AE0D77">
        <w:rPr>
          <w:rFonts w:eastAsia="標楷體"/>
          <w:kern w:val="0"/>
          <w:sz w:val="28"/>
          <w:szCs w:val="28"/>
        </w:rPr>
        <w:t>9.3</w:t>
      </w:r>
      <w:r w:rsidRPr="00AE0D77">
        <w:rPr>
          <w:rFonts w:eastAsia="標楷體"/>
          <w:kern w:val="0"/>
          <w:sz w:val="28"/>
          <w:szCs w:val="28"/>
        </w:rPr>
        <w:t>％；今年</w:t>
      </w:r>
      <w:r w:rsidRPr="00AE0D77">
        <w:rPr>
          <w:rFonts w:eastAsia="標楷體"/>
          <w:kern w:val="0"/>
          <w:sz w:val="28"/>
          <w:szCs w:val="28"/>
        </w:rPr>
        <w:t>5</w:t>
      </w:r>
      <w:r w:rsidRPr="00AE0D77">
        <w:rPr>
          <w:rFonts w:eastAsia="標楷體"/>
          <w:kern w:val="0"/>
          <w:sz w:val="28"/>
          <w:szCs w:val="28"/>
        </w:rPr>
        <w:t>月消費者物價上漲率為</w:t>
      </w:r>
      <w:r w:rsidRPr="00AE0D77">
        <w:rPr>
          <w:rFonts w:eastAsia="標楷體"/>
          <w:kern w:val="0"/>
          <w:sz w:val="28"/>
          <w:szCs w:val="28"/>
        </w:rPr>
        <w:t>1.4</w:t>
      </w:r>
      <w:r w:rsidRPr="00AE0D77">
        <w:rPr>
          <w:rFonts w:eastAsia="標楷體"/>
          <w:kern w:val="0"/>
          <w:sz w:val="28"/>
          <w:szCs w:val="28"/>
        </w:rPr>
        <w:t>％。另數據調查機構</w:t>
      </w:r>
      <w:r w:rsidRPr="00AE0D77">
        <w:rPr>
          <w:rFonts w:eastAsia="標楷體"/>
          <w:kern w:val="0"/>
          <w:sz w:val="28"/>
          <w:szCs w:val="28"/>
        </w:rPr>
        <w:t>Markit</w:t>
      </w:r>
      <w:r w:rsidRPr="00AE0D77">
        <w:rPr>
          <w:rFonts w:eastAsia="標楷體"/>
          <w:kern w:val="0"/>
          <w:sz w:val="28"/>
          <w:szCs w:val="28"/>
        </w:rPr>
        <w:t>公布今年</w:t>
      </w:r>
      <w:r w:rsidRPr="00AE0D77">
        <w:rPr>
          <w:rFonts w:eastAsia="標楷體"/>
          <w:kern w:val="0"/>
          <w:sz w:val="28"/>
          <w:szCs w:val="28"/>
        </w:rPr>
        <w:t>5</w:t>
      </w:r>
      <w:r w:rsidRPr="00AE0D77">
        <w:rPr>
          <w:rFonts w:eastAsia="標楷體"/>
          <w:kern w:val="0"/>
          <w:sz w:val="28"/>
          <w:szCs w:val="28"/>
        </w:rPr>
        <w:t>月歐元區綜合採購經理人指數（</w:t>
      </w:r>
      <w:r w:rsidRPr="00AE0D77">
        <w:rPr>
          <w:rFonts w:eastAsia="標楷體"/>
          <w:kern w:val="0"/>
          <w:sz w:val="28"/>
          <w:szCs w:val="28"/>
        </w:rPr>
        <w:t>Composite PMI</w:t>
      </w:r>
      <w:r w:rsidRPr="00AE0D77">
        <w:rPr>
          <w:rFonts w:eastAsia="標楷體"/>
          <w:kern w:val="0"/>
          <w:sz w:val="28"/>
          <w:szCs w:val="28"/>
        </w:rPr>
        <w:t>）</w:t>
      </w:r>
      <w:r w:rsidRPr="00AE0D77">
        <w:rPr>
          <w:rFonts w:eastAsia="標楷體"/>
          <w:kern w:val="0"/>
          <w:sz w:val="28"/>
          <w:szCs w:val="28"/>
        </w:rPr>
        <w:t>56.8</w:t>
      </w:r>
      <w:r w:rsidRPr="00AE0D77">
        <w:rPr>
          <w:rFonts w:eastAsia="標楷體"/>
          <w:kern w:val="0"/>
          <w:sz w:val="28"/>
          <w:szCs w:val="28"/>
        </w:rPr>
        <w:t>，與上月持平。</w:t>
      </w:r>
    </w:p>
    <w:p w:rsidR="0048479E" w:rsidRPr="00AE0D77" w:rsidRDefault="009F3ED4" w:rsidP="009F3ED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E0D77">
        <w:rPr>
          <w:rFonts w:eastAsia="標楷體"/>
          <w:kern w:val="0"/>
          <w:sz w:val="28"/>
          <w:szCs w:val="28"/>
        </w:rPr>
        <w:t>今年</w:t>
      </w:r>
      <w:r w:rsidRPr="00AE0D77">
        <w:rPr>
          <w:rFonts w:eastAsia="標楷體"/>
          <w:kern w:val="0"/>
          <w:sz w:val="28"/>
          <w:szCs w:val="28"/>
        </w:rPr>
        <w:t>6</w:t>
      </w:r>
      <w:r w:rsidRPr="00AE0D77">
        <w:rPr>
          <w:rFonts w:eastAsia="標楷體"/>
          <w:kern w:val="0"/>
          <w:sz w:val="28"/>
          <w:szCs w:val="28"/>
        </w:rPr>
        <w:t>月</w:t>
      </w:r>
      <w:r w:rsidRPr="00AE0D77">
        <w:rPr>
          <w:rFonts w:eastAsia="標楷體"/>
          <w:kern w:val="0"/>
          <w:sz w:val="28"/>
          <w:szCs w:val="28"/>
        </w:rPr>
        <w:t>19</w:t>
      </w:r>
      <w:r w:rsidRPr="00AE0D77">
        <w:rPr>
          <w:rFonts w:eastAsia="標楷體"/>
          <w:kern w:val="0"/>
          <w:sz w:val="28"/>
          <w:szCs w:val="28"/>
        </w:rPr>
        <w:t>日英國與歐盟正式啟動脫歐談判，雙方同意將優先討論歐盟提出的</w:t>
      </w:r>
      <w:r w:rsidRPr="00AE0D77">
        <w:rPr>
          <w:rFonts w:eastAsia="標楷體"/>
          <w:kern w:val="0"/>
          <w:sz w:val="28"/>
          <w:szCs w:val="28"/>
        </w:rPr>
        <w:t>3</w:t>
      </w:r>
      <w:r w:rsidRPr="00AE0D77">
        <w:rPr>
          <w:rFonts w:eastAsia="標楷體"/>
          <w:kern w:val="0"/>
          <w:sz w:val="28"/>
          <w:szCs w:val="28"/>
        </w:rPr>
        <w:t>大議題，歐盟公民權利、財務結算及北愛爾蘭問題，後續預計於</w:t>
      </w:r>
      <w:r w:rsidRPr="00AE0D77">
        <w:rPr>
          <w:rFonts w:eastAsia="標楷體"/>
          <w:kern w:val="0"/>
          <w:sz w:val="28"/>
          <w:szCs w:val="28"/>
        </w:rPr>
        <w:t>7</w:t>
      </w:r>
      <w:r w:rsidRPr="00AE0D77">
        <w:rPr>
          <w:rFonts w:eastAsia="標楷體"/>
          <w:kern w:val="0"/>
          <w:sz w:val="28"/>
          <w:szCs w:val="28"/>
        </w:rPr>
        <w:t>月</w:t>
      </w:r>
      <w:r w:rsidRPr="00AE0D77">
        <w:rPr>
          <w:rFonts w:eastAsia="標楷體"/>
          <w:kern w:val="0"/>
          <w:sz w:val="28"/>
          <w:szCs w:val="28"/>
        </w:rPr>
        <w:t>17</w:t>
      </w:r>
      <w:r w:rsidRPr="00AE0D77">
        <w:rPr>
          <w:rFonts w:eastAsia="標楷體"/>
          <w:kern w:val="0"/>
          <w:sz w:val="28"/>
          <w:szCs w:val="28"/>
        </w:rPr>
        <w:t>日、</w:t>
      </w:r>
      <w:r w:rsidRPr="00AE0D77">
        <w:rPr>
          <w:rFonts w:eastAsia="標楷體"/>
          <w:kern w:val="0"/>
          <w:sz w:val="28"/>
          <w:szCs w:val="28"/>
        </w:rPr>
        <w:t>8</w:t>
      </w:r>
      <w:r w:rsidRPr="00AE0D77">
        <w:rPr>
          <w:rFonts w:eastAsia="標楷體"/>
          <w:kern w:val="0"/>
          <w:sz w:val="28"/>
          <w:szCs w:val="28"/>
        </w:rPr>
        <w:t>月</w:t>
      </w:r>
      <w:r w:rsidRPr="00AE0D77">
        <w:rPr>
          <w:rFonts w:eastAsia="標楷體"/>
          <w:kern w:val="0"/>
          <w:sz w:val="28"/>
          <w:szCs w:val="28"/>
        </w:rPr>
        <w:t>28</w:t>
      </w:r>
      <w:r w:rsidRPr="00AE0D77">
        <w:rPr>
          <w:rFonts w:eastAsia="標楷體"/>
          <w:kern w:val="0"/>
          <w:sz w:val="28"/>
          <w:szCs w:val="28"/>
        </w:rPr>
        <w:t>日、</w:t>
      </w:r>
      <w:r w:rsidRPr="00AE0D77">
        <w:rPr>
          <w:rFonts w:eastAsia="標楷體"/>
          <w:kern w:val="0"/>
          <w:sz w:val="28"/>
          <w:szCs w:val="28"/>
        </w:rPr>
        <w:t>9</w:t>
      </w:r>
      <w:r w:rsidRPr="00AE0D77">
        <w:rPr>
          <w:rFonts w:eastAsia="標楷體"/>
          <w:kern w:val="0"/>
          <w:sz w:val="28"/>
          <w:szCs w:val="28"/>
        </w:rPr>
        <w:t>月</w:t>
      </w:r>
      <w:r w:rsidRPr="00AE0D77">
        <w:rPr>
          <w:rFonts w:eastAsia="標楷體"/>
          <w:kern w:val="0"/>
          <w:sz w:val="28"/>
          <w:szCs w:val="28"/>
        </w:rPr>
        <w:t>18</w:t>
      </w:r>
      <w:r w:rsidRPr="00AE0D77">
        <w:rPr>
          <w:rFonts w:eastAsia="標楷體"/>
          <w:kern w:val="0"/>
          <w:sz w:val="28"/>
          <w:szCs w:val="28"/>
        </w:rPr>
        <w:t>日及</w:t>
      </w:r>
      <w:r w:rsidRPr="00AE0D77">
        <w:rPr>
          <w:rFonts w:eastAsia="標楷體"/>
          <w:kern w:val="0"/>
          <w:sz w:val="28"/>
          <w:szCs w:val="28"/>
        </w:rPr>
        <w:t>10</w:t>
      </w:r>
      <w:r w:rsidRPr="00AE0D77">
        <w:rPr>
          <w:rFonts w:eastAsia="標楷體"/>
          <w:kern w:val="0"/>
          <w:sz w:val="28"/>
          <w:szCs w:val="28"/>
        </w:rPr>
        <w:t>月</w:t>
      </w:r>
      <w:r w:rsidRPr="00AE0D77">
        <w:rPr>
          <w:rFonts w:eastAsia="標楷體"/>
          <w:kern w:val="0"/>
          <w:sz w:val="28"/>
          <w:szCs w:val="28"/>
        </w:rPr>
        <w:t>9</w:t>
      </w:r>
      <w:r w:rsidRPr="00AE0D77">
        <w:rPr>
          <w:rFonts w:eastAsia="標楷體"/>
          <w:kern w:val="0"/>
          <w:sz w:val="28"/>
          <w:szCs w:val="28"/>
        </w:rPr>
        <w:t>日，舉行</w:t>
      </w:r>
      <w:r w:rsidRPr="00AE0D77">
        <w:rPr>
          <w:rFonts w:eastAsia="標楷體"/>
          <w:kern w:val="0"/>
          <w:sz w:val="28"/>
          <w:szCs w:val="28"/>
        </w:rPr>
        <w:t>4</w:t>
      </w:r>
      <w:r w:rsidRPr="00AE0D77">
        <w:rPr>
          <w:rFonts w:eastAsia="標楷體"/>
          <w:kern w:val="0"/>
          <w:sz w:val="28"/>
          <w:szCs w:val="28"/>
        </w:rPr>
        <w:t>輪談判。另</w:t>
      </w:r>
      <w:r w:rsidRPr="00AE0D77">
        <w:rPr>
          <w:rFonts w:eastAsia="標楷體"/>
          <w:kern w:val="0"/>
          <w:sz w:val="28"/>
          <w:szCs w:val="28"/>
        </w:rPr>
        <w:t>6</w:t>
      </w:r>
      <w:r w:rsidRPr="00AE0D77">
        <w:rPr>
          <w:rFonts w:eastAsia="標楷體"/>
          <w:kern w:val="0"/>
          <w:sz w:val="28"/>
          <w:szCs w:val="28"/>
        </w:rPr>
        <w:t>月</w:t>
      </w:r>
      <w:r w:rsidRPr="00AE0D77">
        <w:rPr>
          <w:rFonts w:eastAsia="標楷體"/>
          <w:kern w:val="0"/>
          <w:sz w:val="28"/>
          <w:szCs w:val="28"/>
        </w:rPr>
        <w:t>18</w:t>
      </w:r>
      <w:r w:rsidRPr="00AE0D77">
        <w:rPr>
          <w:rFonts w:eastAsia="標楷體"/>
          <w:kern w:val="0"/>
          <w:sz w:val="28"/>
          <w:szCs w:val="28"/>
        </w:rPr>
        <w:t>日法國議會選舉，新任總統馬克宏所領導的前進黨取得</w:t>
      </w:r>
      <w:r w:rsidRPr="00AE0D77">
        <w:rPr>
          <w:rFonts w:eastAsia="標楷體"/>
          <w:kern w:val="0"/>
          <w:sz w:val="28"/>
          <w:szCs w:val="28"/>
        </w:rPr>
        <w:t>6</w:t>
      </w:r>
      <w:r w:rsidRPr="00AE0D77">
        <w:rPr>
          <w:rFonts w:eastAsia="標楷體"/>
          <w:kern w:val="0"/>
          <w:sz w:val="28"/>
          <w:szCs w:val="28"/>
        </w:rPr>
        <w:t>成席次，預期有助其推動政策計畫，包括削減公共預算及勞動市場改革等。</w:t>
      </w:r>
    </w:p>
    <w:p w:rsidR="00D22038" w:rsidRPr="00AE0D77" w:rsidRDefault="00D22038">
      <w:pPr>
        <w:widowControl/>
        <w:rPr>
          <w:rFonts w:eastAsia="標楷體"/>
          <w:b/>
          <w:kern w:val="0"/>
          <w:sz w:val="28"/>
          <w:szCs w:val="32"/>
          <w:lang w:val="zh-TW"/>
        </w:rPr>
      </w:pPr>
      <w:r w:rsidRPr="00AE0D77">
        <w:rPr>
          <w:rFonts w:eastAsia="標楷體"/>
          <w:b/>
          <w:kern w:val="0"/>
          <w:sz w:val="28"/>
          <w:szCs w:val="32"/>
          <w:lang w:val="zh-TW"/>
        </w:rPr>
        <w:br w:type="page"/>
      </w:r>
    </w:p>
    <w:p w:rsidR="00127CCA" w:rsidRPr="00AE0D77"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AE0D77" w:rsidRDefault="006422DB" w:rsidP="006422DB">
      <w:pPr>
        <w:widowControl/>
        <w:adjustRightInd w:val="0"/>
        <w:snapToGrid w:val="0"/>
        <w:spacing w:line="300" w:lineRule="auto"/>
        <w:ind w:firstLineChars="200" w:firstLine="561"/>
        <w:jc w:val="center"/>
        <w:rPr>
          <w:rFonts w:eastAsia="標楷體"/>
          <w:b/>
          <w:bCs/>
          <w:sz w:val="28"/>
        </w:rPr>
      </w:pPr>
      <w:r w:rsidRPr="00AE0D77">
        <w:rPr>
          <w:rFonts w:eastAsia="標楷體"/>
          <w:b/>
          <w:bCs/>
          <w:sz w:val="28"/>
        </w:rPr>
        <w:t>表</w:t>
      </w:r>
      <w:r w:rsidRPr="00AE0D77">
        <w:rPr>
          <w:rFonts w:eastAsia="標楷體"/>
          <w:b/>
          <w:bCs/>
          <w:sz w:val="28"/>
        </w:rPr>
        <w:t xml:space="preserve">1-2  </w:t>
      </w:r>
      <w:r w:rsidRPr="00AE0D77">
        <w:rPr>
          <w:rFonts w:eastAsia="標楷體"/>
          <w:b/>
          <w:bCs/>
          <w:sz w:val="28"/>
        </w:rPr>
        <w:t>歐元區重要經濟指標</w:t>
      </w:r>
    </w:p>
    <w:p w:rsidR="00FF38F9" w:rsidRPr="00AE0D77" w:rsidRDefault="00FF38F9" w:rsidP="00FF38F9">
      <w:pPr>
        <w:wordWrap w:val="0"/>
        <w:snapToGrid w:val="0"/>
        <w:ind w:rightChars="13" w:right="31"/>
        <w:jc w:val="right"/>
        <w:rPr>
          <w:rFonts w:eastAsia="標楷體"/>
          <w:sz w:val="22"/>
        </w:rPr>
      </w:pPr>
      <w:r w:rsidRPr="00AE0D77">
        <w:rPr>
          <w:rFonts w:eastAsia="標楷體"/>
          <w:sz w:val="22"/>
        </w:rPr>
        <w:t>單位：億歐元；</w:t>
      </w:r>
      <w:r w:rsidR="009675F7" w:rsidRPr="00AE0D77">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9F3ED4" w:rsidRPr="00AE0D77" w:rsidTr="00FC4D38">
        <w:trPr>
          <w:cantSplit/>
          <w:jc w:val="center"/>
        </w:trPr>
        <w:tc>
          <w:tcPr>
            <w:tcW w:w="896" w:type="dxa"/>
            <w:vMerge w:val="restart"/>
            <w:tcBorders>
              <w:top w:val="single" w:sz="6" w:space="0" w:color="auto"/>
              <w:left w:val="nil"/>
              <w:right w:val="single" w:sz="6" w:space="0" w:color="auto"/>
            </w:tcBorders>
            <w:shd w:val="clear" w:color="auto" w:fill="auto"/>
            <w:vAlign w:val="center"/>
          </w:tcPr>
          <w:p w:rsidR="009F3ED4" w:rsidRPr="00AE0D77" w:rsidRDefault="009F3ED4" w:rsidP="00FC4D3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AE0D77">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實質</w:t>
            </w:r>
          </w:p>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工業</w:t>
            </w:r>
          </w:p>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貿</w:t>
            </w:r>
            <w:r w:rsidRPr="00AE0D77">
              <w:rPr>
                <w:rFonts w:eastAsia="標楷體"/>
                <w:sz w:val="22"/>
              </w:rPr>
              <w:t xml:space="preserve">   </w:t>
            </w:r>
            <w:r w:rsidRPr="00AE0D7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消費者</w:t>
            </w:r>
          </w:p>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失業率</w:t>
            </w:r>
          </w:p>
        </w:tc>
      </w:tr>
      <w:tr w:rsidR="009F3ED4" w:rsidRPr="00AE0D77" w:rsidTr="00FC4D38">
        <w:trPr>
          <w:cantSplit/>
          <w:trHeight w:val="284"/>
          <w:jc w:val="center"/>
        </w:trPr>
        <w:tc>
          <w:tcPr>
            <w:tcW w:w="896" w:type="dxa"/>
            <w:vMerge/>
            <w:tcBorders>
              <w:left w:val="nil"/>
              <w:right w:val="single" w:sz="6" w:space="0" w:color="auto"/>
            </w:tcBorders>
            <w:shd w:val="clear" w:color="auto" w:fill="00FFFF"/>
          </w:tcPr>
          <w:p w:rsidR="009F3ED4" w:rsidRPr="00AE0D77" w:rsidRDefault="009F3ED4" w:rsidP="00FC4D3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出入超</w:t>
            </w:r>
          </w:p>
        </w:tc>
        <w:tc>
          <w:tcPr>
            <w:tcW w:w="854" w:type="dxa"/>
            <w:vMerge/>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9F3ED4" w:rsidRPr="00AE0D77" w:rsidRDefault="009F3ED4" w:rsidP="00FC4D38">
            <w:pPr>
              <w:autoSpaceDE w:val="0"/>
              <w:autoSpaceDN w:val="0"/>
              <w:adjustRightInd w:val="0"/>
              <w:snapToGrid w:val="0"/>
              <w:spacing w:line="240" w:lineRule="atLeast"/>
              <w:jc w:val="both"/>
              <w:rPr>
                <w:rFonts w:eastAsia="標楷體"/>
                <w:sz w:val="22"/>
              </w:rPr>
            </w:pPr>
          </w:p>
        </w:tc>
      </w:tr>
      <w:tr w:rsidR="009F3ED4" w:rsidRPr="00AE0D77" w:rsidTr="00FC4D38">
        <w:trPr>
          <w:cantSplit/>
          <w:trHeight w:val="353"/>
          <w:jc w:val="center"/>
        </w:trPr>
        <w:tc>
          <w:tcPr>
            <w:tcW w:w="896" w:type="dxa"/>
            <w:vMerge/>
            <w:tcBorders>
              <w:left w:val="nil"/>
              <w:bottom w:val="single" w:sz="4" w:space="0" w:color="auto"/>
              <w:right w:val="single" w:sz="6" w:space="0" w:color="auto"/>
            </w:tcBorders>
            <w:shd w:val="clear" w:color="auto" w:fill="00FFFF"/>
          </w:tcPr>
          <w:p w:rsidR="009F3ED4" w:rsidRPr="00AE0D77" w:rsidRDefault="009F3ED4" w:rsidP="00FC4D3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9F3ED4" w:rsidRPr="00AE0D77" w:rsidRDefault="009F3ED4" w:rsidP="00FC4D3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9F3ED4" w:rsidRPr="00AE0D77" w:rsidRDefault="009F3ED4" w:rsidP="00FC4D38">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9F3ED4" w:rsidRPr="00AE0D77" w:rsidRDefault="009F3ED4" w:rsidP="00FC4D38">
            <w:pPr>
              <w:autoSpaceDE w:val="0"/>
              <w:autoSpaceDN w:val="0"/>
              <w:adjustRightInd w:val="0"/>
              <w:snapToGrid w:val="0"/>
              <w:spacing w:line="240" w:lineRule="atLeast"/>
              <w:jc w:val="center"/>
              <w:rPr>
                <w:rFonts w:eastAsia="標楷體"/>
                <w:sz w:val="22"/>
              </w:rPr>
            </w:pPr>
            <w:r w:rsidRPr="00AE0D77">
              <w:rPr>
                <w:rFonts w:eastAsia="標楷體"/>
                <w:sz w:val="22"/>
              </w:rPr>
              <w:t>年增率</w:t>
            </w:r>
          </w:p>
        </w:tc>
        <w:tc>
          <w:tcPr>
            <w:tcW w:w="896" w:type="dxa"/>
            <w:vMerge/>
            <w:tcBorders>
              <w:left w:val="single" w:sz="6" w:space="0" w:color="auto"/>
              <w:bottom w:val="single" w:sz="6" w:space="0" w:color="auto"/>
              <w:right w:val="single" w:sz="6" w:space="0" w:color="auto"/>
            </w:tcBorders>
          </w:tcPr>
          <w:p w:rsidR="009F3ED4" w:rsidRPr="00AE0D77" w:rsidRDefault="009F3ED4" w:rsidP="00FC4D38">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9F3ED4" w:rsidRPr="00AE0D77" w:rsidRDefault="009F3ED4" w:rsidP="00FC4D3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9F3ED4" w:rsidRPr="00AE0D77" w:rsidRDefault="009F3ED4" w:rsidP="00FC4D38">
            <w:pPr>
              <w:autoSpaceDE w:val="0"/>
              <w:autoSpaceDN w:val="0"/>
              <w:adjustRightInd w:val="0"/>
              <w:snapToGrid w:val="0"/>
              <w:spacing w:line="240" w:lineRule="atLeast"/>
              <w:jc w:val="both"/>
              <w:rPr>
                <w:rFonts w:eastAsia="標楷體"/>
                <w:sz w:val="22"/>
              </w:rPr>
            </w:pP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2012</w:t>
            </w:r>
            <w:r w:rsidRPr="00AE0D77">
              <w:rPr>
                <w:rFonts w:eastAsia="標楷體"/>
                <w:sz w:val="22"/>
              </w:rPr>
              <w:t>年</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-0.5</w:t>
            </w: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-2.5</w:t>
            </w:r>
          </w:p>
        </w:tc>
        <w:tc>
          <w:tcPr>
            <w:tcW w:w="854"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18,726</w:t>
            </w:r>
          </w:p>
        </w:tc>
        <w:tc>
          <w:tcPr>
            <w:tcW w:w="810"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7.9</w:t>
            </w:r>
          </w:p>
        </w:tc>
        <w:tc>
          <w:tcPr>
            <w:tcW w:w="757"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17,928</w:t>
            </w:r>
          </w:p>
        </w:tc>
        <w:tc>
          <w:tcPr>
            <w:tcW w:w="784"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2.5</w:t>
            </w:r>
          </w:p>
        </w:tc>
        <w:tc>
          <w:tcPr>
            <w:tcW w:w="896"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798</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2.5</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11.4</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2013</w:t>
            </w:r>
            <w:r w:rsidRPr="00AE0D77">
              <w:rPr>
                <w:rFonts w:eastAsia="標楷體"/>
                <w:sz w:val="22"/>
              </w:rPr>
              <w:t>年</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-0.5</w:t>
            </w: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-0.7</w:t>
            </w:r>
          </w:p>
        </w:tc>
        <w:tc>
          <w:tcPr>
            <w:tcW w:w="854"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18,874</w:t>
            </w:r>
          </w:p>
        </w:tc>
        <w:tc>
          <w:tcPr>
            <w:tcW w:w="810"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0.7</w:t>
            </w:r>
          </w:p>
        </w:tc>
        <w:tc>
          <w:tcPr>
            <w:tcW w:w="757"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17,336</w:t>
            </w:r>
          </w:p>
        </w:tc>
        <w:tc>
          <w:tcPr>
            <w:tcW w:w="784"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-3.3</w:t>
            </w:r>
          </w:p>
        </w:tc>
        <w:tc>
          <w:tcPr>
            <w:tcW w:w="896"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1,538</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1.3</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12.0</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2014</w:t>
            </w:r>
            <w:r w:rsidRPr="00AE0D77">
              <w:rPr>
                <w:rFonts w:eastAsia="標楷體"/>
                <w:sz w:val="22"/>
              </w:rPr>
              <w:t>年</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0.9</w:t>
            </w: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-0.05</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19,390</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17,442</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1,948</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0.4</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11.6</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2015</w:t>
            </w:r>
            <w:r w:rsidRPr="00AE0D77">
              <w:rPr>
                <w:rFonts w:eastAsia="標楷體"/>
                <w:sz w:val="22"/>
              </w:rPr>
              <w:t>年</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w:t>
            </w: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20,430</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5.0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17,964</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2,466</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0.0</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10.9</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2016</w:t>
            </w:r>
            <w:r w:rsidRPr="00AE0D77">
              <w:rPr>
                <w:rFonts w:eastAsia="標楷體"/>
                <w:sz w:val="22"/>
              </w:rPr>
              <w:t>年</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w:t>
            </w: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20,478</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17,740</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2,738</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0.2</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10.0</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4</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1.1</w:t>
            </w:r>
          </w:p>
        </w:tc>
        <w:tc>
          <w:tcPr>
            <w:tcW w:w="854"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1,733</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1,442</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-5.0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275</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-0.2</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10.2</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5</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-1.2</w:t>
            </w:r>
          </w:p>
        </w:tc>
        <w:tc>
          <w:tcPr>
            <w:tcW w:w="854" w:type="dxa"/>
            <w:tcBorders>
              <w:left w:val="single" w:sz="6" w:space="0" w:color="auto"/>
              <w:right w:val="single" w:sz="6" w:space="0" w:color="auto"/>
            </w:tcBorders>
            <w:vAlign w:val="center"/>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1,642</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1,412</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246</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-0.1</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10.1</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6</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w:t>
            </w:r>
            <w:r w:rsidRPr="00AE0D77">
              <w:rPr>
                <w:rFonts w:eastAsia="標楷體"/>
                <w:sz w:val="22"/>
              </w:rPr>
              <w:t>（</w:t>
            </w:r>
            <w:r w:rsidRPr="00AE0D77">
              <w:rPr>
                <w:rFonts w:ascii="新細明體" w:hAnsi="新細明體" w:cs="新細明體" w:hint="eastAsia"/>
                <w:sz w:val="22"/>
              </w:rPr>
              <w:t>Ⅱ</w:t>
            </w:r>
            <w:r w:rsidRPr="00AE0D77">
              <w:rPr>
                <w:rFonts w:eastAsia="標楷體"/>
                <w:sz w:val="22"/>
              </w:rPr>
              <w:t>）</w:t>
            </w: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0.6</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1,702</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1,460</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-5.0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314</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0.1</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10.1</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7</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-1.1</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1,620</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1,336</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-8.0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312</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0.2</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10.1</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8</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1,731</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8.0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1,590</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4.0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191</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0.2</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10.1</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9</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w:t>
            </w:r>
            <w:r w:rsidRPr="00AE0D77">
              <w:rPr>
                <w:rFonts w:eastAsia="標楷體"/>
                <w:sz w:val="22"/>
              </w:rPr>
              <w:t>（</w:t>
            </w:r>
            <w:r w:rsidRPr="00AE0D77">
              <w:rPr>
                <w:rFonts w:ascii="新細明體" w:hAnsi="新細明體" w:cs="新細明體" w:hint="eastAsia"/>
                <w:sz w:val="22"/>
              </w:rPr>
              <w:t>Ⅲ</w:t>
            </w:r>
            <w:r w:rsidRPr="00AE0D77">
              <w:rPr>
                <w:rFonts w:eastAsia="標楷體"/>
                <w:sz w:val="22"/>
              </w:rPr>
              <w:t>）</w:t>
            </w: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-0.8</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1,824</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1,516</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353</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0.4</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10.0</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10</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-0.1</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1,750</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-5.0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1,624</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-3.0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161</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0.5</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9.8</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11</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1.5</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1,800</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6.0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1,526</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5.0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259</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0.6</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9.8</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12</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w:t>
            </w:r>
            <w:r w:rsidRPr="00AE0D77">
              <w:rPr>
                <w:rFonts w:eastAsia="標楷體"/>
                <w:sz w:val="22"/>
              </w:rPr>
              <w:t>（</w:t>
            </w:r>
            <w:r w:rsidRPr="00AE0D77">
              <w:rPr>
                <w:rFonts w:ascii="新細明體" w:hAnsi="新細明體" w:cs="新細明體" w:hint="eastAsia"/>
                <w:sz w:val="22"/>
              </w:rPr>
              <w:t>Ⅳ</w:t>
            </w:r>
            <w:r w:rsidRPr="00AE0D77">
              <w:rPr>
                <w:rFonts w:eastAsia="標楷體"/>
                <w:sz w:val="22"/>
              </w:rPr>
              <w:t>）</w:t>
            </w: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1,786</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6.0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1,505</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4.0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281</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1.1</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9.6</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2017</w:t>
            </w:r>
            <w:r w:rsidRPr="00AE0D77">
              <w:rPr>
                <w:rFonts w:eastAsia="標楷體"/>
                <w:sz w:val="22"/>
              </w:rPr>
              <w:t>年</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7,072</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7.0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6,439</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11.0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632</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0.9</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1,633</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13.0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1,644</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-11</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1.8</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9.6</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-0.3</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1,713</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4.0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1,547</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5.0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166</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9.5</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3</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1.9</w:t>
            </w:r>
            <w:r w:rsidRPr="00AE0D77">
              <w:rPr>
                <w:rFonts w:eastAsia="標楷體"/>
                <w:sz w:val="22"/>
              </w:rPr>
              <w:t>（</w:t>
            </w:r>
            <w:r w:rsidRPr="00AE0D77">
              <w:rPr>
                <w:rFonts w:eastAsia="標楷體"/>
                <w:sz w:val="22"/>
              </w:rPr>
              <w:t>I</w:t>
            </w:r>
            <w:r w:rsidRPr="00AE0D77">
              <w:rPr>
                <w:rFonts w:eastAsia="標楷體"/>
                <w:sz w:val="22"/>
              </w:rPr>
              <w:t>）</w:t>
            </w: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-0.1</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2,049</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13.0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1,750</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14.0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299</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1.5</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9.5</w:t>
            </w:r>
          </w:p>
        </w:tc>
      </w:tr>
      <w:tr w:rsidR="009F3ED4" w:rsidRPr="00AE0D77" w:rsidTr="00FC4D38">
        <w:trPr>
          <w:cantSplit/>
          <w:jc w:val="center"/>
        </w:trPr>
        <w:tc>
          <w:tcPr>
            <w:tcW w:w="896" w:type="dxa"/>
            <w:tcBorders>
              <w:left w:val="nil"/>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4</w:t>
            </w:r>
            <w:r w:rsidRPr="00AE0D77">
              <w:rPr>
                <w:rFonts w:eastAsia="標楷體"/>
                <w:sz w:val="22"/>
              </w:rPr>
              <w:t>月</w:t>
            </w:r>
          </w:p>
        </w:tc>
        <w:tc>
          <w:tcPr>
            <w:tcW w:w="93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0.5</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1,677</w:t>
            </w:r>
          </w:p>
        </w:tc>
        <w:tc>
          <w:tcPr>
            <w:tcW w:w="810"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-3.0</w:t>
            </w:r>
          </w:p>
        </w:tc>
        <w:tc>
          <w:tcPr>
            <w:tcW w:w="757"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1,498</w:t>
            </w:r>
          </w:p>
        </w:tc>
        <w:tc>
          <w:tcPr>
            <w:tcW w:w="78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3.0</w:t>
            </w:r>
          </w:p>
        </w:tc>
        <w:tc>
          <w:tcPr>
            <w:tcW w:w="896"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179</w:t>
            </w:r>
          </w:p>
        </w:tc>
        <w:tc>
          <w:tcPr>
            <w:tcW w:w="854" w:type="dxa"/>
            <w:tcBorders>
              <w:left w:val="single" w:sz="6"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1.9</w:t>
            </w:r>
          </w:p>
        </w:tc>
        <w:tc>
          <w:tcPr>
            <w:tcW w:w="853" w:type="dxa"/>
            <w:tcBorders>
              <w:left w:val="single" w:sz="6"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9.3</w:t>
            </w:r>
          </w:p>
        </w:tc>
      </w:tr>
      <w:tr w:rsidR="009F3ED4" w:rsidRPr="00AE0D77" w:rsidTr="00FC4D38">
        <w:trPr>
          <w:cantSplit/>
          <w:jc w:val="center"/>
        </w:trPr>
        <w:tc>
          <w:tcPr>
            <w:tcW w:w="896" w:type="dxa"/>
            <w:tcBorders>
              <w:left w:val="nil"/>
              <w:bottom w:val="single" w:sz="4" w:space="0" w:color="auto"/>
              <w:right w:val="single" w:sz="6" w:space="0" w:color="auto"/>
            </w:tcBorders>
            <w:shd w:val="clear" w:color="auto" w:fill="auto"/>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5</w:t>
            </w:r>
            <w:r w:rsidRPr="00AE0D77">
              <w:rPr>
                <w:rFonts w:eastAsia="標楷體"/>
                <w:sz w:val="22"/>
              </w:rPr>
              <w:t>月</w:t>
            </w:r>
          </w:p>
        </w:tc>
        <w:tc>
          <w:tcPr>
            <w:tcW w:w="932" w:type="dxa"/>
            <w:tcBorders>
              <w:left w:val="single" w:sz="6" w:space="0" w:color="auto"/>
              <w:bottom w:val="single" w:sz="4"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w:t>
            </w:r>
          </w:p>
        </w:tc>
        <w:tc>
          <w:tcPr>
            <w:tcW w:w="854" w:type="dxa"/>
            <w:tcBorders>
              <w:left w:val="single" w:sz="6" w:space="0" w:color="auto"/>
              <w:bottom w:val="single" w:sz="4"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w:t>
            </w:r>
          </w:p>
        </w:tc>
        <w:tc>
          <w:tcPr>
            <w:tcW w:w="810" w:type="dxa"/>
            <w:tcBorders>
              <w:left w:val="single" w:sz="6" w:space="0" w:color="auto"/>
              <w:bottom w:val="single" w:sz="4"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w:t>
            </w:r>
          </w:p>
        </w:tc>
        <w:tc>
          <w:tcPr>
            <w:tcW w:w="757" w:type="dxa"/>
            <w:tcBorders>
              <w:left w:val="single" w:sz="6" w:space="0" w:color="auto"/>
              <w:bottom w:val="single" w:sz="4"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w:t>
            </w:r>
          </w:p>
        </w:tc>
        <w:tc>
          <w:tcPr>
            <w:tcW w:w="784" w:type="dxa"/>
            <w:tcBorders>
              <w:left w:val="single" w:sz="6" w:space="0" w:color="auto"/>
              <w:bottom w:val="single" w:sz="4"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w:t>
            </w:r>
          </w:p>
        </w:tc>
        <w:tc>
          <w:tcPr>
            <w:tcW w:w="896" w:type="dxa"/>
            <w:tcBorders>
              <w:left w:val="single" w:sz="6" w:space="0" w:color="auto"/>
              <w:bottom w:val="single" w:sz="4"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w:t>
            </w:r>
          </w:p>
        </w:tc>
        <w:tc>
          <w:tcPr>
            <w:tcW w:w="854" w:type="dxa"/>
            <w:tcBorders>
              <w:left w:val="single" w:sz="6" w:space="0" w:color="auto"/>
              <w:bottom w:val="single" w:sz="4" w:space="0" w:color="auto"/>
              <w:right w:val="single" w:sz="6" w:space="0" w:color="auto"/>
            </w:tcBorders>
            <w:vAlign w:val="bottom"/>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1.4</w:t>
            </w:r>
          </w:p>
        </w:tc>
        <w:tc>
          <w:tcPr>
            <w:tcW w:w="853" w:type="dxa"/>
            <w:tcBorders>
              <w:left w:val="single" w:sz="6" w:space="0" w:color="auto"/>
              <w:bottom w:val="single" w:sz="4" w:space="0" w:color="auto"/>
              <w:right w:val="nil"/>
            </w:tcBorders>
          </w:tcPr>
          <w:p w:rsidR="009F3ED4" w:rsidRPr="00AE0D77" w:rsidRDefault="009F3ED4" w:rsidP="00FC4D38">
            <w:pPr>
              <w:autoSpaceDE w:val="0"/>
              <w:autoSpaceDN w:val="0"/>
              <w:adjustRightInd w:val="0"/>
              <w:snapToGrid w:val="0"/>
              <w:spacing w:line="380" w:lineRule="atLeast"/>
              <w:jc w:val="center"/>
              <w:rPr>
                <w:rFonts w:eastAsia="標楷體"/>
                <w:sz w:val="22"/>
              </w:rPr>
            </w:pPr>
            <w:r w:rsidRPr="00AE0D77">
              <w:rPr>
                <w:rFonts w:eastAsia="標楷體"/>
                <w:sz w:val="22"/>
              </w:rPr>
              <w:t>-</w:t>
            </w:r>
          </w:p>
        </w:tc>
      </w:tr>
    </w:tbl>
    <w:p w:rsidR="006422DB" w:rsidRPr="00AE0D77" w:rsidRDefault="00FF38F9" w:rsidP="00FF38F9">
      <w:pPr>
        <w:widowControl/>
        <w:ind w:firstLineChars="118" w:firstLine="283"/>
        <w:rPr>
          <w:rFonts w:eastAsia="標楷體"/>
          <w:b/>
          <w:kern w:val="0"/>
          <w:sz w:val="28"/>
          <w:szCs w:val="32"/>
          <w:lang w:val="zh-TW"/>
        </w:rPr>
      </w:pPr>
      <w:r w:rsidRPr="00AE0D77">
        <w:rPr>
          <w:rFonts w:eastAsia="標楷體"/>
        </w:rPr>
        <w:t>資料來源：歐洲統計局。</w:t>
      </w:r>
    </w:p>
    <w:p w:rsidR="00127CCA" w:rsidRPr="00AE0D77" w:rsidRDefault="00127CCA" w:rsidP="00127CCA">
      <w:pPr>
        <w:widowControl/>
        <w:rPr>
          <w:rFonts w:eastAsia="標楷體"/>
          <w:b/>
          <w:bCs/>
          <w:sz w:val="32"/>
          <w:szCs w:val="32"/>
        </w:rPr>
      </w:pPr>
    </w:p>
    <w:p w:rsidR="00127CCA" w:rsidRPr="00AE0D77" w:rsidRDefault="00127CCA" w:rsidP="00127CCA">
      <w:pPr>
        <w:widowControl/>
        <w:tabs>
          <w:tab w:val="left" w:pos="6840"/>
        </w:tabs>
        <w:snapToGrid w:val="0"/>
        <w:spacing w:beforeLines="50" w:before="180" w:line="288" w:lineRule="auto"/>
        <w:ind w:right="-142"/>
        <w:jc w:val="both"/>
        <w:rPr>
          <w:rFonts w:eastAsia="標楷體"/>
          <w:kern w:val="0"/>
          <w:sz w:val="28"/>
          <w:szCs w:val="28"/>
        </w:rPr>
      </w:pPr>
    </w:p>
    <w:p w:rsidR="00127CCA" w:rsidRPr="00AE0D77" w:rsidRDefault="00127CCA"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681344" w:rsidRPr="00AE0D77" w:rsidRDefault="00821547" w:rsidP="00B40DBD">
      <w:pPr>
        <w:pStyle w:val="t-3"/>
        <w:spacing w:beforeLines="50" w:before="180" w:line="520" w:lineRule="exact"/>
        <w:ind w:right="-60"/>
        <w:rPr>
          <w:b w:val="0"/>
          <w:bCs w:val="0"/>
          <w:sz w:val="40"/>
          <w:szCs w:val="36"/>
        </w:rPr>
      </w:pPr>
      <w:bookmarkStart w:id="78" w:name="_Toc402171709"/>
      <w:bookmarkStart w:id="79" w:name="_Toc486347627"/>
      <w:r w:rsidRPr="00AE0D77">
        <w:lastRenderedPageBreak/>
        <w:t>（</w:t>
      </w:r>
      <w:r w:rsidR="00681344" w:rsidRPr="00AE0D77">
        <w:t>三</w:t>
      </w:r>
      <w:r w:rsidRPr="00AE0D77">
        <w:t>）</w:t>
      </w:r>
      <w:r w:rsidR="00681344" w:rsidRPr="00AE0D77">
        <w:t>亞太地區</w:t>
      </w:r>
      <w:bookmarkEnd w:id="78"/>
      <w:bookmarkEnd w:id="79"/>
    </w:p>
    <w:p w:rsidR="00CC64FE" w:rsidRPr="00AE0D77" w:rsidRDefault="009F3ED4" w:rsidP="00C46E37">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AE0D77">
        <w:rPr>
          <w:rFonts w:eastAsia="標楷體"/>
          <w:kern w:val="0"/>
          <w:sz w:val="28"/>
          <w:szCs w:val="28"/>
        </w:rPr>
        <w:t>世界銀行</w:t>
      </w:r>
      <w:r w:rsidRPr="00AE0D77">
        <w:rPr>
          <w:rFonts w:eastAsia="標楷體"/>
          <w:kern w:val="0"/>
          <w:sz w:val="28"/>
          <w:szCs w:val="28"/>
        </w:rPr>
        <w:t>(WB)</w:t>
      </w:r>
      <w:r w:rsidRPr="00AE0D77">
        <w:rPr>
          <w:rFonts w:eastAsia="標楷體"/>
          <w:kern w:val="0"/>
          <w:sz w:val="28"/>
          <w:szCs w:val="28"/>
        </w:rPr>
        <w:t>於今</w:t>
      </w:r>
      <w:r w:rsidRPr="00AE0D77">
        <w:rPr>
          <w:rFonts w:eastAsia="標楷體"/>
          <w:kern w:val="0"/>
          <w:sz w:val="28"/>
          <w:szCs w:val="28"/>
        </w:rPr>
        <w:t>(2017)</w:t>
      </w:r>
      <w:r w:rsidRPr="00AE0D77">
        <w:rPr>
          <w:rFonts w:eastAsia="標楷體"/>
          <w:kern w:val="0"/>
          <w:sz w:val="28"/>
          <w:szCs w:val="28"/>
        </w:rPr>
        <w:t>年</w:t>
      </w:r>
      <w:r w:rsidRPr="00AE0D77">
        <w:rPr>
          <w:rFonts w:eastAsia="標楷體"/>
          <w:kern w:val="0"/>
          <w:sz w:val="28"/>
          <w:szCs w:val="28"/>
        </w:rPr>
        <w:t>6</w:t>
      </w:r>
      <w:r w:rsidRPr="00AE0D77">
        <w:rPr>
          <w:rFonts w:eastAsia="標楷體"/>
          <w:kern w:val="0"/>
          <w:sz w:val="28"/>
          <w:szCs w:val="28"/>
        </w:rPr>
        <w:t>月</w:t>
      </w:r>
      <w:r w:rsidRPr="00AE0D77">
        <w:rPr>
          <w:rFonts w:eastAsia="標楷體"/>
          <w:kern w:val="0"/>
          <w:sz w:val="28"/>
          <w:szCs w:val="28"/>
        </w:rPr>
        <w:t>5</w:t>
      </w:r>
      <w:r w:rsidRPr="00AE0D77">
        <w:rPr>
          <w:rFonts w:eastAsia="標楷體"/>
          <w:kern w:val="0"/>
          <w:sz w:val="28"/>
          <w:szCs w:val="28"/>
        </w:rPr>
        <w:t>日發布「全球經濟展望」報告，預測亞太地區今年及明</w:t>
      </w:r>
      <w:r w:rsidRPr="00AE0D77">
        <w:rPr>
          <w:rFonts w:eastAsia="標楷體"/>
          <w:kern w:val="0"/>
          <w:sz w:val="28"/>
          <w:szCs w:val="28"/>
        </w:rPr>
        <w:t>(2018)</w:t>
      </w:r>
      <w:r w:rsidRPr="00AE0D77">
        <w:rPr>
          <w:rFonts w:eastAsia="標楷體"/>
          <w:kern w:val="0"/>
          <w:sz w:val="28"/>
          <w:szCs w:val="28"/>
        </w:rPr>
        <w:t>年經濟成長率分別為</w:t>
      </w:r>
      <w:r w:rsidRPr="00AE0D77">
        <w:rPr>
          <w:rFonts w:eastAsia="標楷體"/>
          <w:kern w:val="0"/>
          <w:sz w:val="28"/>
          <w:szCs w:val="28"/>
        </w:rPr>
        <w:t>6.2%</w:t>
      </w:r>
      <w:r w:rsidRPr="00AE0D77">
        <w:rPr>
          <w:rFonts w:eastAsia="標楷體"/>
          <w:kern w:val="0"/>
          <w:sz w:val="28"/>
          <w:szCs w:val="28"/>
        </w:rPr>
        <w:t>、</w:t>
      </w:r>
      <w:r w:rsidRPr="00AE0D77">
        <w:rPr>
          <w:rFonts w:eastAsia="標楷體"/>
          <w:kern w:val="0"/>
          <w:sz w:val="28"/>
          <w:szCs w:val="28"/>
        </w:rPr>
        <w:t>6.1%</w:t>
      </w:r>
      <w:r w:rsidR="009718D7" w:rsidRPr="00AE0D77">
        <w:rPr>
          <w:rFonts w:eastAsia="標楷體"/>
          <w:kern w:val="0"/>
          <w:sz w:val="28"/>
          <w:szCs w:val="28"/>
        </w:rPr>
        <w:t>。</w:t>
      </w:r>
    </w:p>
    <w:p w:rsidR="00681344" w:rsidRPr="00AE0D77" w:rsidRDefault="00681344" w:rsidP="00681344">
      <w:pPr>
        <w:pStyle w:val="k3a"/>
        <w:tabs>
          <w:tab w:val="left" w:pos="540"/>
        </w:tabs>
        <w:spacing w:before="180" w:line="300" w:lineRule="auto"/>
        <w:ind w:leftChars="0" w:left="0" w:right="-60" w:firstLineChars="0" w:firstLine="0"/>
        <w:rPr>
          <w:b/>
          <w:bCs/>
          <w:szCs w:val="28"/>
        </w:rPr>
      </w:pPr>
      <w:r w:rsidRPr="00AE0D77">
        <w:rPr>
          <w:b/>
          <w:bCs/>
          <w:szCs w:val="28"/>
        </w:rPr>
        <w:t>１、日本</w:t>
      </w:r>
    </w:p>
    <w:p w:rsidR="00542E00" w:rsidRPr="00AE0D77" w:rsidRDefault="00542E00" w:rsidP="00542E00">
      <w:pPr>
        <w:numPr>
          <w:ilvl w:val="0"/>
          <w:numId w:val="23"/>
        </w:numPr>
        <w:snapToGrid w:val="0"/>
        <w:spacing w:beforeLines="50" w:before="180" w:line="300" w:lineRule="auto"/>
        <w:ind w:leftChars="117" w:left="848" w:rightChars="-95" w:right="-228" w:hanging="567"/>
        <w:jc w:val="both"/>
        <w:rPr>
          <w:rFonts w:eastAsia="標楷體"/>
          <w:sz w:val="28"/>
          <w:szCs w:val="28"/>
        </w:rPr>
      </w:pPr>
      <w:r w:rsidRPr="00AE0D77">
        <w:rPr>
          <w:rFonts w:eastAsia="標楷體"/>
          <w:sz w:val="28"/>
          <w:szCs w:val="28"/>
        </w:rPr>
        <w:t>日本政府於今年</w:t>
      </w:r>
      <w:r w:rsidRPr="00AE0D77">
        <w:rPr>
          <w:rFonts w:eastAsia="標楷體"/>
          <w:sz w:val="28"/>
          <w:szCs w:val="28"/>
        </w:rPr>
        <w:t>6</w:t>
      </w:r>
      <w:r w:rsidRPr="00AE0D77">
        <w:rPr>
          <w:rFonts w:eastAsia="標楷體"/>
          <w:sz w:val="28"/>
          <w:szCs w:val="28"/>
        </w:rPr>
        <w:t>月</w:t>
      </w:r>
      <w:r w:rsidRPr="00AE0D77">
        <w:rPr>
          <w:rFonts w:eastAsia="標楷體"/>
          <w:sz w:val="28"/>
          <w:szCs w:val="28"/>
        </w:rPr>
        <w:t>8</w:t>
      </w:r>
      <w:r w:rsidRPr="00AE0D77">
        <w:rPr>
          <w:rFonts w:eastAsia="標楷體"/>
          <w:sz w:val="28"/>
          <w:szCs w:val="28"/>
        </w:rPr>
        <w:t>日下修第</w:t>
      </w:r>
      <w:r w:rsidRPr="00AE0D77">
        <w:rPr>
          <w:rFonts w:eastAsia="標楷體"/>
          <w:sz w:val="28"/>
          <w:szCs w:val="28"/>
        </w:rPr>
        <w:t>1</w:t>
      </w:r>
      <w:r w:rsidRPr="00AE0D77">
        <w:rPr>
          <w:rFonts w:eastAsia="標楷體"/>
          <w:sz w:val="28"/>
          <w:szCs w:val="28"/>
        </w:rPr>
        <w:t>季實質</w:t>
      </w:r>
      <w:r w:rsidRPr="00AE0D77">
        <w:rPr>
          <w:rFonts w:eastAsia="標楷體"/>
          <w:sz w:val="28"/>
          <w:szCs w:val="28"/>
        </w:rPr>
        <w:t>GDP</w:t>
      </w:r>
      <w:r w:rsidRPr="00AE0D77">
        <w:rPr>
          <w:rFonts w:eastAsia="標楷體"/>
          <w:sz w:val="28"/>
          <w:szCs w:val="28"/>
        </w:rPr>
        <w:t>數據，較上季成長</w:t>
      </w:r>
      <w:r w:rsidRPr="00AE0D77">
        <w:rPr>
          <w:rFonts w:eastAsia="標楷體"/>
          <w:sz w:val="28"/>
          <w:szCs w:val="28"/>
        </w:rPr>
        <w:t>0.3</w:t>
      </w:r>
      <w:r w:rsidRPr="00AE0D77">
        <w:rPr>
          <w:rFonts w:eastAsia="標楷體"/>
          <w:sz w:val="28"/>
          <w:szCs w:val="28"/>
        </w:rPr>
        <w:t>％，換算年率成長</w:t>
      </w:r>
      <w:r w:rsidRPr="00AE0D77">
        <w:rPr>
          <w:rFonts w:eastAsia="標楷體"/>
          <w:sz w:val="28"/>
          <w:szCs w:val="28"/>
        </w:rPr>
        <w:t>1.0</w:t>
      </w:r>
      <w:r w:rsidRPr="00AE0D77">
        <w:rPr>
          <w:rFonts w:eastAsia="標楷體"/>
          <w:sz w:val="28"/>
          <w:szCs w:val="28"/>
        </w:rPr>
        <w:t>％。其中民間最終消費支出成長</w:t>
      </w:r>
      <w:r w:rsidRPr="00AE0D77">
        <w:rPr>
          <w:rFonts w:eastAsia="標楷體"/>
          <w:sz w:val="28"/>
          <w:szCs w:val="28"/>
        </w:rPr>
        <w:t>0.3</w:t>
      </w:r>
      <w:r w:rsidRPr="00AE0D77">
        <w:rPr>
          <w:rFonts w:eastAsia="標楷體"/>
          <w:sz w:val="28"/>
          <w:szCs w:val="28"/>
        </w:rPr>
        <w:t>％、公部門需求零成長、民間住宅成長</w:t>
      </w:r>
      <w:r w:rsidRPr="00AE0D77">
        <w:rPr>
          <w:rFonts w:eastAsia="標楷體"/>
          <w:sz w:val="28"/>
          <w:szCs w:val="28"/>
        </w:rPr>
        <w:t>0.7</w:t>
      </w:r>
      <w:r w:rsidRPr="00AE0D77">
        <w:rPr>
          <w:rFonts w:eastAsia="標楷體"/>
          <w:sz w:val="28"/>
          <w:szCs w:val="28"/>
        </w:rPr>
        <w:t>％、民間企業設備成長</w:t>
      </w:r>
      <w:r w:rsidRPr="00AE0D77">
        <w:rPr>
          <w:rFonts w:eastAsia="標楷體"/>
          <w:sz w:val="28"/>
          <w:szCs w:val="28"/>
        </w:rPr>
        <w:t>0.3</w:t>
      </w:r>
      <w:r w:rsidRPr="00AE0D77">
        <w:rPr>
          <w:rFonts w:eastAsia="標楷體"/>
          <w:sz w:val="28"/>
          <w:szCs w:val="28"/>
        </w:rPr>
        <w:t>％，商品及服務之出口與進口則分別成長</w:t>
      </w:r>
      <w:r w:rsidRPr="00AE0D77">
        <w:rPr>
          <w:rFonts w:eastAsia="標楷體"/>
          <w:sz w:val="28"/>
          <w:szCs w:val="28"/>
        </w:rPr>
        <w:t>2.1</w:t>
      </w:r>
      <w:r w:rsidRPr="00AE0D77">
        <w:rPr>
          <w:rFonts w:eastAsia="標楷體"/>
          <w:sz w:val="28"/>
          <w:szCs w:val="28"/>
        </w:rPr>
        <w:t>％及</w:t>
      </w:r>
      <w:r w:rsidRPr="00AE0D77">
        <w:rPr>
          <w:rFonts w:eastAsia="標楷體"/>
          <w:sz w:val="28"/>
          <w:szCs w:val="28"/>
        </w:rPr>
        <w:t>1.4</w:t>
      </w:r>
      <w:r w:rsidRPr="00AE0D77">
        <w:rPr>
          <w:rFonts w:eastAsia="標楷體"/>
          <w:sz w:val="28"/>
          <w:szCs w:val="28"/>
        </w:rPr>
        <w:t>％，此次下修主要原因為民間需求成長率衰退。</w:t>
      </w:r>
    </w:p>
    <w:p w:rsidR="00542E00" w:rsidRPr="00AE0D77" w:rsidRDefault="00542E00" w:rsidP="00542E00">
      <w:pPr>
        <w:numPr>
          <w:ilvl w:val="0"/>
          <w:numId w:val="23"/>
        </w:numPr>
        <w:snapToGrid w:val="0"/>
        <w:spacing w:beforeLines="50" w:before="180" w:line="300" w:lineRule="auto"/>
        <w:ind w:leftChars="117" w:left="848" w:rightChars="-95" w:right="-228" w:hanging="567"/>
        <w:jc w:val="both"/>
        <w:rPr>
          <w:rFonts w:eastAsia="標楷體"/>
          <w:sz w:val="28"/>
          <w:szCs w:val="28"/>
        </w:rPr>
      </w:pPr>
      <w:r w:rsidRPr="00AE0D77">
        <w:rPr>
          <w:rFonts w:eastAsia="標楷體"/>
          <w:sz w:val="28"/>
          <w:szCs w:val="28"/>
        </w:rPr>
        <w:t>根據日本財務省發布今年</w:t>
      </w:r>
      <w:r w:rsidRPr="00AE0D77">
        <w:rPr>
          <w:rFonts w:eastAsia="標楷體"/>
          <w:sz w:val="28"/>
          <w:szCs w:val="28"/>
        </w:rPr>
        <w:t>5</w:t>
      </w:r>
      <w:r w:rsidRPr="00AE0D77">
        <w:rPr>
          <w:rFonts w:eastAsia="標楷體"/>
          <w:sz w:val="28"/>
          <w:szCs w:val="28"/>
        </w:rPr>
        <w:t>月進出口貿易統計，出口額為</w:t>
      </w:r>
      <w:r w:rsidRPr="00AE0D77">
        <w:rPr>
          <w:rFonts w:eastAsia="標楷體"/>
          <w:sz w:val="28"/>
          <w:szCs w:val="28"/>
        </w:rPr>
        <w:t>5.85</w:t>
      </w:r>
      <w:r w:rsidRPr="00AE0D77">
        <w:rPr>
          <w:rFonts w:eastAsia="標楷體"/>
          <w:sz w:val="28"/>
          <w:szCs w:val="28"/>
        </w:rPr>
        <w:t>兆日圓，較上年同期成長</w:t>
      </w:r>
      <w:r w:rsidRPr="00AE0D77">
        <w:rPr>
          <w:rFonts w:eastAsia="標楷體"/>
          <w:sz w:val="28"/>
          <w:szCs w:val="28"/>
        </w:rPr>
        <w:t>14.9</w:t>
      </w:r>
      <w:r w:rsidRPr="00AE0D77">
        <w:rPr>
          <w:rFonts w:eastAsia="標楷體"/>
          <w:sz w:val="28"/>
          <w:szCs w:val="28"/>
        </w:rPr>
        <w:t>％，進口額為</w:t>
      </w:r>
      <w:r w:rsidRPr="00AE0D77">
        <w:rPr>
          <w:rFonts w:eastAsia="標楷體"/>
          <w:sz w:val="28"/>
          <w:szCs w:val="28"/>
        </w:rPr>
        <w:t>6.05</w:t>
      </w:r>
      <w:r w:rsidRPr="00AE0D77">
        <w:rPr>
          <w:rFonts w:eastAsia="標楷體"/>
          <w:sz w:val="28"/>
          <w:szCs w:val="28"/>
        </w:rPr>
        <w:t>兆日圓，成長</w:t>
      </w:r>
      <w:r w:rsidRPr="00AE0D77">
        <w:rPr>
          <w:rFonts w:eastAsia="標楷體"/>
          <w:sz w:val="28"/>
          <w:szCs w:val="28"/>
        </w:rPr>
        <w:t>17.8</w:t>
      </w:r>
      <w:r w:rsidRPr="00AE0D77">
        <w:rPr>
          <w:rFonts w:eastAsia="標楷體"/>
          <w:sz w:val="28"/>
          <w:szCs w:val="28"/>
        </w:rPr>
        <w:t>％，貿易入超為</w:t>
      </w:r>
      <w:r w:rsidRPr="00AE0D77">
        <w:rPr>
          <w:rFonts w:eastAsia="標楷體"/>
          <w:sz w:val="28"/>
          <w:szCs w:val="28"/>
        </w:rPr>
        <w:t>0.2</w:t>
      </w:r>
      <w:r w:rsidRPr="00AE0D77">
        <w:rPr>
          <w:rFonts w:eastAsia="標楷體"/>
          <w:sz w:val="28"/>
          <w:szCs w:val="28"/>
        </w:rPr>
        <w:t>兆日圓。對主要貿易夥伴出口額皆成長，歐盟、美國、中國大陸及東協，分別較上年成長</w:t>
      </w:r>
      <w:r w:rsidRPr="00AE0D77">
        <w:rPr>
          <w:rFonts w:eastAsia="標楷體"/>
          <w:sz w:val="28"/>
          <w:szCs w:val="28"/>
        </w:rPr>
        <w:t>19.8</w:t>
      </w:r>
      <w:r w:rsidRPr="00AE0D77">
        <w:rPr>
          <w:rFonts w:eastAsia="標楷體"/>
          <w:sz w:val="28"/>
          <w:szCs w:val="28"/>
        </w:rPr>
        <w:t>％、</w:t>
      </w:r>
      <w:r w:rsidRPr="00AE0D77">
        <w:rPr>
          <w:rFonts w:eastAsia="標楷體"/>
          <w:sz w:val="28"/>
          <w:szCs w:val="28"/>
        </w:rPr>
        <w:t>11.6</w:t>
      </w:r>
      <w:r w:rsidRPr="00AE0D77">
        <w:rPr>
          <w:rFonts w:eastAsia="標楷體"/>
          <w:sz w:val="28"/>
          <w:szCs w:val="28"/>
        </w:rPr>
        <w:t>％、</w:t>
      </w:r>
      <w:r w:rsidRPr="00AE0D77">
        <w:rPr>
          <w:rFonts w:eastAsia="標楷體"/>
          <w:sz w:val="28"/>
          <w:szCs w:val="28"/>
        </w:rPr>
        <w:t>23.9</w:t>
      </w:r>
      <w:r w:rsidRPr="00AE0D77">
        <w:rPr>
          <w:rFonts w:eastAsia="標楷體"/>
          <w:sz w:val="28"/>
          <w:szCs w:val="28"/>
        </w:rPr>
        <w:t>％及</w:t>
      </w:r>
      <w:r w:rsidRPr="00AE0D77">
        <w:rPr>
          <w:rFonts w:eastAsia="標楷體"/>
          <w:sz w:val="28"/>
          <w:szCs w:val="28"/>
        </w:rPr>
        <w:t>14.3</w:t>
      </w:r>
      <w:r w:rsidRPr="00AE0D77">
        <w:rPr>
          <w:rFonts w:eastAsia="標楷體"/>
          <w:sz w:val="28"/>
          <w:szCs w:val="28"/>
        </w:rPr>
        <w:t>％。今年</w:t>
      </w:r>
      <w:r w:rsidRPr="00AE0D77">
        <w:rPr>
          <w:rFonts w:eastAsia="標楷體"/>
          <w:sz w:val="28"/>
          <w:szCs w:val="28"/>
        </w:rPr>
        <w:t>4</w:t>
      </w:r>
      <w:r w:rsidRPr="00AE0D77">
        <w:rPr>
          <w:rFonts w:eastAsia="標楷體"/>
          <w:sz w:val="28"/>
          <w:szCs w:val="28"/>
        </w:rPr>
        <w:t>月工業生產成長</w:t>
      </w:r>
      <w:r w:rsidRPr="00AE0D77">
        <w:rPr>
          <w:rFonts w:eastAsia="標楷體"/>
          <w:sz w:val="28"/>
          <w:szCs w:val="28"/>
        </w:rPr>
        <w:t>4.0</w:t>
      </w:r>
      <w:r w:rsidRPr="00AE0D77">
        <w:rPr>
          <w:rFonts w:eastAsia="標楷體"/>
          <w:sz w:val="28"/>
          <w:szCs w:val="28"/>
        </w:rPr>
        <w:t>％，消費者物價上漲率為</w:t>
      </w:r>
      <w:r w:rsidRPr="00AE0D77">
        <w:rPr>
          <w:rFonts w:eastAsia="標楷體"/>
          <w:sz w:val="28"/>
          <w:szCs w:val="28"/>
        </w:rPr>
        <w:t>0.4</w:t>
      </w:r>
      <w:r w:rsidRPr="00AE0D77">
        <w:rPr>
          <w:rFonts w:eastAsia="標楷體"/>
          <w:sz w:val="28"/>
          <w:szCs w:val="28"/>
        </w:rPr>
        <w:t>％，失業率為</w:t>
      </w:r>
      <w:r w:rsidRPr="00AE0D77">
        <w:rPr>
          <w:rFonts w:eastAsia="標楷體"/>
          <w:sz w:val="28"/>
          <w:szCs w:val="28"/>
        </w:rPr>
        <w:t>2.8</w:t>
      </w:r>
      <w:r w:rsidRPr="00AE0D77">
        <w:rPr>
          <w:rFonts w:eastAsia="標楷體"/>
          <w:sz w:val="28"/>
          <w:szCs w:val="28"/>
        </w:rPr>
        <w:t>％。</w:t>
      </w:r>
    </w:p>
    <w:p w:rsidR="00542E00" w:rsidRPr="00AE0D77" w:rsidRDefault="00542E00" w:rsidP="00542E00">
      <w:pPr>
        <w:numPr>
          <w:ilvl w:val="0"/>
          <w:numId w:val="23"/>
        </w:numPr>
        <w:snapToGrid w:val="0"/>
        <w:spacing w:beforeLines="50" w:before="180" w:line="300" w:lineRule="auto"/>
        <w:ind w:leftChars="117" w:left="848" w:rightChars="-95" w:right="-228" w:hanging="567"/>
        <w:jc w:val="both"/>
        <w:rPr>
          <w:rFonts w:eastAsia="標楷體"/>
          <w:sz w:val="28"/>
          <w:szCs w:val="28"/>
        </w:rPr>
      </w:pPr>
      <w:r w:rsidRPr="00AE0D77">
        <w:rPr>
          <w:rFonts w:eastAsia="標楷體"/>
          <w:sz w:val="28"/>
          <w:szCs w:val="28"/>
        </w:rPr>
        <w:t>日本央行今年</w:t>
      </w:r>
      <w:r w:rsidRPr="00AE0D77">
        <w:rPr>
          <w:rFonts w:eastAsia="標楷體"/>
          <w:sz w:val="28"/>
          <w:szCs w:val="28"/>
        </w:rPr>
        <w:t>6</w:t>
      </w:r>
      <w:r w:rsidRPr="00AE0D77">
        <w:rPr>
          <w:rFonts w:eastAsia="標楷體"/>
          <w:sz w:val="28"/>
          <w:szCs w:val="28"/>
        </w:rPr>
        <w:t>月</w:t>
      </w:r>
      <w:r w:rsidRPr="00AE0D77">
        <w:rPr>
          <w:rFonts w:eastAsia="標楷體"/>
          <w:sz w:val="28"/>
          <w:szCs w:val="28"/>
        </w:rPr>
        <w:t>15</w:t>
      </w:r>
      <w:r w:rsidRPr="00AE0D77">
        <w:rPr>
          <w:rFonts w:eastAsia="標楷體"/>
          <w:sz w:val="28"/>
          <w:szCs w:val="28"/>
        </w:rPr>
        <w:t>日發布新聞稿指出，在海外經濟體復甦及政府大規模刺激措施影響下，日本經濟朝穩定擴張方向前進，國內民間消費、企業投資及對外出口皆持續成長，並決議維持當前貨幣政策不變，包括負利率及質化量化寬鬆貨幣政策</w:t>
      </w:r>
      <w:r w:rsidRPr="00AE0D77">
        <w:rPr>
          <w:rFonts w:eastAsia="標楷體"/>
          <w:sz w:val="28"/>
          <w:szCs w:val="28"/>
        </w:rPr>
        <w:t>(QQE)</w:t>
      </w:r>
      <w:r w:rsidRPr="00AE0D77">
        <w:rPr>
          <w:rFonts w:eastAsia="標楷體"/>
          <w:sz w:val="28"/>
          <w:szCs w:val="28"/>
        </w:rPr>
        <w:t>，直至消費者物價上漲率提升至</w:t>
      </w:r>
      <w:r w:rsidRPr="00AE0D77">
        <w:rPr>
          <w:rFonts w:eastAsia="標楷體"/>
          <w:sz w:val="28"/>
          <w:szCs w:val="28"/>
        </w:rPr>
        <w:t>2.0 %</w:t>
      </w:r>
      <w:r w:rsidRPr="00AE0D77">
        <w:rPr>
          <w:rFonts w:eastAsia="標楷體"/>
          <w:sz w:val="28"/>
          <w:szCs w:val="28"/>
        </w:rPr>
        <w:t>。</w:t>
      </w:r>
    </w:p>
    <w:p w:rsidR="00AC7340" w:rsidRPr="00AE0D77" w:rsidRDefault="00542E00" w:rsidP="00542E00">
      <w:pPr>
        <w:pStyle w:val="afffff"/>
        <w:numPr>
          <w:ilvl w:val="0"/>
          <w:numId w:val="23"/>
        </w:numPr>
        <w:snapToGrid w:val="0"/>
        <w:spacing w:before="180" w:line="300" w:lineRule="auto"/>
        <w:ind w:leftChars="117" w:left="848" w:rightChars="-95" w:right="-228" w:firstLineChars="0" w:hanging="567"/>
        <w:rPr>
          <w:rFonts w:ascii="Times New Roman" w:eastAsia="標楷體" w:hAnsi="Times New Roman"/>
          <w:sz w:val="28"/>
          <w:szCs w:val="28"/>
        </w:rPr>
      </w:pPr>
      <w:r w:rsidRPr="00AE0D77">
        <w:rPr>
          <w:rFonts w:ascii="Times New Roman" w:eastAsia="標楷體" w:hAnsi="Times New Roman"/>
          <w:sz w:val="28"/>
          <w:szCs w:val="28"/>
        </w:rPr>
        <w:t>國際貨幣基金</w:t>
      </w:r>
      <w:r w:rsidRPr="00AE0D77">
        <w:rPr>
          <w:rFonts w:ascii="Times New Roman" w:eastAsia="標楷體" w:hAnsi="Times New Roman"/>
          <w:sz w:val="28"/>
          <w:szCs w:val="28"/>
        </w:rPr>
        <w:t>(IMF)</w:t>
      </w:r>
      <w:r w:rsidRPr="00AE0D77">
        <w:rPr>
          <w:rFonts w:ascii="Times New Roman" w:eastAsia="標楷體" w:hAnsi="Times New Roman"/>
          <w:sz w:val="28"/>
          <w:szCs w:val="28"/>
        </w:rPr>
        <w:t>於今年</w:t>
      </w:r>
      <w:r w:rsidRPr="00AE0D77">
        <w:rPr>
          <w:rFonts w:ascii="Times New Roman" w:eastAsia="標楷體" w:hAnsi="Times New Roman"/>
          <w:sz w:val="28"/>
          <w:szCs w:val="28"/>
        </w:rPr>
        <w:t>6</w:t>
      </w:r>
      <w:r w:rsidRPr="00AE0D77">
        <w:rPr>
          <w:rFonts w:ascii="Times New Roman" w:eastAsia="標楷體" w:hAnsi="Times New Roman"/>
          <w:sz w:val="28"/>
          <w:szCs w:val="28"/>
        </w:rPr>
        <w:t>月</w:t>
      </w:r>
      <w:r w:rsidRPr="00AE0D77">
        <w:rPr>
          <w:rFonts w:ascii="Times New Roman" w:eastAsia="標楷體" w:hAnsi="Times New Roman"/>
          <w:sz w:val="28"/>
          <w:szCs w:val="28"/>
        </w:rPr>
        <w:t>19</w:t>
      </w:r>
      <w:r w:rsidRPr="00AE0D77">
        <w:rPr>
          <w:rFonts w:ascii="Times New Roman" w:eastAsia="標楷體" w:hAnsi="Times New Roman"/>
          <w:sz w:val="28"/>
          <w:szCs w:val="28"/>
        </w:rPr>
        <w:t>日發布有關日本經濟之報告指出，日本近期經濟成長動能主要來自外部收益及臨時財政刺激措施，但結構性遲滯且仍面臨消費者物價上漲率低迷、高齡化及高債務比等問題，建議日本政府透過勞動市場改革提高生產力及工資，加速結構性改革，以推動經濟成長，另呼籲日本央行持續實施寬鬆政策。</w:t>
      </w:r>
    </w:p>
    <w:p w:rsidR="00FF38F9" w:rsidRPr="00AE0D77" w:rsidRDefault="00FF38F9" w:rsidP="00681344">
      <w:pPr>
        <w:snapToGrid w:val="0"/>
        <w:spacing w:before="60" w:line="300" w:lineRule="auto"/>
        <w:ind w:leftChars="250" w:left="600" w:right="-227" w:firstLineChars="700" w:firstLine="1962"/>
        <w:jc w:val="both"/>
        <w:rPr>
          <w:rFonts w:eastAsia="標楷體"/>
          <w:b/>
          <w:bCs/>
          <w:sz w:val="28"/>
          <w:szCs w:val="32"/>
        </w:rPr>
      </w:pPr>
    </w:p>
    <w:p w:rsidR="008905B7" w:rsidRPr="00AE0D77"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AE0D77">
        <w:rPr>
          <w:rFonts w:eastAsia="標楷體"/>
          <w:b/>
          <w:bCs/>
          <w:sz w:val="28"/>
          <w:szCs w:val="32"/>
          <w:lang w:val="zh-TW"/>
        </w:rPr>
        <w:t>表</w:t>
      </w:r>
      <w:r w:rsidRPr="00AE0D77">
        <w:rPr>
          <w:rFonts w:eastAsia="標楷體"/>
          <w:b/>
          <w:bCs/>
          <w:sz w:val="28"/>
          <w:szCs w:val="32"/>
          <w:lang w:val="zh-TW"/>
        </w:rPr>
        <w:t xml:space="preserve">1-3-1 </w:t>
      </w:r>
      <w:r w:rsidRPr="00AE0D77">
        <w:rPr>
          <w:rFonts w:eastAsia="標楷體"/>
          <w:b/>
          <w:bCs/>
          <w:sz w:val="28"/>
          <w:szCs w:val="32"/>
          <w:lang w:val="zh-TW"/>
        </w:rPr>
        <w:t>日本重要經濟指標</w:t>
      </w:r>
    </w:p>
    <w:p w:rsidR="00FF38F9" w:rsidRPr="00AE0D77" w:rsidRDefault="00FF38F9" w:rsidP="00FF38F9">
      <w:pPr>
        <w:snapToGrid w:val="0"/>
        <w:ind w:rightChars="-300" w:right="-720"/>
        <w:jc w:val="right"/>
        <w:rPr>
          <w:rFonts w:eastAsia="標楷體"/>
          <w:lang w:val="zh-TW"/>
        </w:rPr>
      </w:pPr>
      <w:r w:rsidRPr="00AE0D77">
        <w:rPr>
          <w:rFonts w:eastAsia="標楷體"/>
          <w:lang w:val="zh-TW"/>
        </w:rPr>
        <w:t>單位：兆日圓；</w:t>
      </w:r>
      <w:r w:rsidR="009675F7" w:rsidRPr="00AE0D77">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542E00" w:rsidRPr="00AE0D77" w:rsidTr="00FC4D38">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lang w:val="zh-TW"/>
              </w:rPr>
            </w:pPr>
            <w:r w:rsidRPr="00AE0D77">
              <w:rPr>
                <w:rFonts w:eastAsia="標楷體"/>
                <w:sz w:val="22"/>
                <w:lang w:val="zh-TW"/>
              </w:rPr>
              <w:t>實質</w:t>
            </w:r>
          </w:p>
          <w:p w:rsidR="00542E00" w:rsidRPr="00AE0D77" w:rsidRDefault="00542E00" w:rsidP="00FC4D38">
            <w:pPr>
              <w:autoSpaceDE w:val="0"/>
              <w:autoSpaceDN w:val="0"/>
              <w:adjustRightInd w:val="0"/>
              <w:snapToGrid w:val="0"/>
              <w:spacing w:line="280" w:lineRule="exact"/>
              <w:jc w:val="center"/>
              <w:rPr>
                <w:rFonts w:eastAsia="標楷體"/>
                <w:sz w:val="22"/>
              </w:rPr>
            </w:pPr>
            <w:r w:rsidRPr="00AE0D77">
              <w:rPr>
                <w:rFonts w:eastAsia="標楷體"/>
                <w:sz w:val="22"/>
                <w:lang w:val="zh-TW"/>
              </w:rPr>
              <w:t>GD</w:t>
            </w:r>
            <w:r w:rsidRPr="00AE0D77">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lang w:val="zh-TW"/>
              </w:rPr>
            </w:pPr>
            <w:r w:rsidRPr="00AE0D77">
              <w:rPr>
                <w:rFonts w:eastAsia="標楷體"/>
                <w:sz w:val="22"/>
                <w:lang w:val="zh-TW"/>
              </w:rPr>
              <w:t>工業</w:t>
            </w:r>
          </w:p>
          <w:p w:rsidR="00542E00" w:rsidRPr="00AE0D77" w:rsidRDefault="00542E00" w:rsidP="00FC4D38">
            <w:pPr>
              <w:autoSpaceDE w:val="0"/>
              <w:autoSpaceDN w:val="0"/>
              <w:adjustRightInd w:val="0"/>
              <w:snapToGrid w:val="0"/>
              <w:spacing w:line="280" w:lineRule="exact"/>
              <w:jc w:val="center"/>
              <w:rPr>
                <w:rFonts w:eastAsia="標楷體"/>
                <w:sz w:val="22"/>
              </w:rPr>
            </w:pPr>
            <w:r w:rsidRPr="00AE0D77">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szCs w:val="20"/>
              </w:rPr>
            </w:pPr>
            <w:r w:rsidRPr="00AE0D77">
              <w:rPr>
                <w:rFonts w:eastAsia="標楷體"/>
                <w:sz w:val="22"/>
                <w:szCs w:val="20"/>
              </w:rPr>
              <w:t>貿</w:t>
            </w:r>
            <w:r w:rsidRPr="00AE0D77">
              <w:rPr>
                <w:rFonts w:eastAsia="標楷體"/>
                <w:sz w:val="22"/>
                <w:szCs w:val="20"/>
              </w:rPr>
              <w:t xml:space="preserve">    </w:t>
            </w:r>
            <w:r w:rsidRPr="00AE0D77">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lang w:val="zh-TW"/>
              </w:rPr>
            </w:pPr>
            <w:r w:rsidRPr="00AE0D77">
              <w:rPr>
                <w:rFonts w:eastAsia="標楷體"/>
                <w:sz w:val="22"/>
                <w:lang w:val="zh-TW"/>
              </w:rPr>
              <w:t>消費者</w:t>
            </w:r>
          </w:p>
          <w:p w:rsidR="00542E00" w:rsidRPr="00AE0D77" w:rsidRDefault="00542E00" w:rsidP="00FC4D38">
            <w:pPr>
              <w:autoSpaceDE w:val="0"/>
              <w:autoSpaceDN w:val="0"/>
              <w:adjustRightInd w:val="0"/>
              <w:snapToGrid w:val="0"/>
              <w:spacing w:line="280" w:lineRule="exact"/>
              <w:jc w:val="center"/>
              <w:rPr>
                <w:rFonts w:eastAsia="標楷體"/>
                <w:sz w:val="22"/>
                <w:lang w:val="zh-TW"/>
              </w:rPr>
            </w:pPr>
            <w:r w:rsidRPr="00AE0D77">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lang w:val="zh-TW"/>
              </w:rPr>
            </w:pPr>
            <w:r w:rsidRPr="00AE0D77">
              <w:rPr>
                <w:rFonts w:eastAsia="標楷體"/>
                <w:sz w:val="22"/>
                <w:lang w:val="zh-TW"/>
              </w:rPr>
              <w:t>失業率</w:t>
            </w:r>
          </w:p>
        </w:tc>
      </w:tr>
      <w:tr w:rsidR="00542E00" w:rsidRPr="00AE0D77" w:rsidTr="00FC4D38">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542E00" w:rsidRPr="00AE0D77" w:rsidRDefault="00542E00" w:rsidP="00FC4D38">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rPr>
            </w:pPr>
            <w:r w:rsidRPr="00AE0D77">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rPr>
            </w:pPr>
            <w:r w:rsidRPr="00AE0D77">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lang w:val="zh-TW"/>
              </w:rPr>
            </w:pPr>
            <w:r w:rsidRPr="00AE0D77">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42E00" w:rsidRPr="00AE0D77" w:rsidRDefault="00542E00" w:rsidP="00FC4D38">
            <w:pPr>
              <w:widowControl/>
              <w:rPr>
                <w:rFonts w:eastAsia="標楷體"/>
                <w:sz w:val="22"/>
                <w:lang w:val="zh-TW"/>
              </w:rPr>
            </w:pPr>
          </w:p>
        </w:tc>
      </w:tr>
      <w:tr w:rsidR="00542E00" w:rsidRPr="00AE0D77" w:rsidTr="00FC4D38">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542E00" w:rsidRPr="00AE0D77" w:rsidRDefault="00542E00" w:rsidP="00FC4D38">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rPr>
            </w:pPr>
            <w:r w:rsidRPr="00AE0D7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rPr>
            </w:pPr>
            <w:r w:rsidRPr="00AE0D77">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rPr>
            </w:pPr>
            <w:r w:rsidRPr="00AE0D7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280" w:lineRule="exact"/>
              <w:jc w:val="center"/>
              <w:rPr>
                <w:rFonts w:eastAsia="標楷體"/>
                <w:sz w:val="22"/>
              </w:rPr>
            </w:pPr>
            <w:r w:rsidRPr="00AE0D77">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42E00" w:rsidRPr="00AE0D77" w:rsidRDefault="00542E00" w:rsidP="00FC4D38">
            <w:pPr>
              <w:widowControl/>
              <w:rPr>
                <w:rFonts w:eastAsia="標楷體"/>
                <w:sz w:val="22"/>
                <w:lang w:val="zh-TW"/>
              </w:rPr>
            </w:pPr>
          </w:p>
        </w:tc>
      </w:tr>
      <w:tr w:rsidR="00542E00" w:rsidRPr="00AE0D77" w:rsidTr="00FC4D38">
        <w:trPr>
          <w:cantSplit/>
        </w:trPr>
        <w:tc>
          <w:tcPr>
            <w:tcW w:w="1402" w:type="dxa"/>
            <w:tcBorders>
              <w:top w:val="nil"/>
              <w:left w:val="nil"/>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2012</w:t>
            </w:r>
            <w:r w:rsidRPr="00AE0D77">
              <w:rPr>
                <w:rFonts w:eastAsia="標楷體"/>
                <w:sz w:val="22"/>
              </w:rPr>
              <w:t>年</w:t>
            </w:r>
          </w:p>
        </w:tc>
        <w:tc>
          <w:tcPr>
            <w:tcW w:w="1080"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1.4</w:t>
            </w:r>
          </w:p>
        </w:tc>
        <w:tc>
          <w:tcPr>
            <w:tcW w:w="772"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0.6</w:t>
            </w:r>
          </w:p>
        </w:tc>
        <w:tc>
          <w:tcPr>
            <w:tcW w:w="840"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0.0</w:t>
            </w:r>
          </w:p>
        </w:tc>
        <w:tc>
          <w:tcPr>
            <w:tcW w:w="835" w:type="dxa"/>
            <w:tcBorders>
              <w:top w:val="nil"/>
              <w:left w:val="single" w:sz="6" w:space="0" w:color="auto"/>
              <w:bottom w:val="nil"/>
              <w:right w:val="nil"/>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4.3</w:t>
            </w:r>
          </w:p>
        </w:tc>
      </w:tr>
      <w:tr w:rsidR="00542E00" w:rsidRPr="00AE0D77" w:rsidTr="00FC4D38">
        <w:trPr>
          <w:cantSplit/>
        </w:trPr>
        <w:tc>
          <w:tcPr>
            <w:tcW w:w="1402" w:type="dxa"/>
            <w:tcBorders>
              <w:top w:val="nil"/>
              <w:left w:val="nil"/>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2013</w:t>
            </w:r>
            <w:r w:rsidRPr="00AE0D77">
              <w:rPr>
                <w:rFonts w:eastAsia="標楷體"/>
                <w:sz w:val="22"/>
              </w:rPr>
              <w:t>年</w:t>
            </w:r>
          </w:p>
        </w:tc>
        <w:tc>
          <w:tcPr>
            <w:tcW w:w="1080"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1.6</w:t>
            </w:r>
          </w:p>
        </w:tc>
        <w:tc>
          <w:tcPr>
            <w:tcW w:w="772"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-0.8</w:t>
            </w:r>
          </w:p>
        </w:tc>
        <w:tc>
          <w:tcPr>
            <w:tcW w:w="840"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69.8</w:t>
            </w:r>
          </w:p>
        </w:tc>
        <w:tc>
          <w:tcPr>
            <w:tcW w:w="784"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9.5</w:t>
            </w:r>
          </w:p>
        </w:tc>
        <w:tc>
          <w:tcPr>
            <w:tcW w:w="853"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81.3</w:t>
            </w:r>
          </w:p>
        </w:tc>
        <w:tc>
          <w:tcPr>
            <w:tcW w:w="784"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15.0</w:t>
            </w:r>
          </w:p>
        </w:tc>
        <w:tc>
          <w:tcPr>
            <w:tcW w:w="910"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-11.5</w:t>
            </w:r>
          </w:p>
        </w:tc>
        <w:tc>
          <w:tcPr>
            <w:tcW w:w="854"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835" w:type="dxa"/>
            <w:tcBorders>
              <w:top w:val="nil"/>
              <w:left w:val="single" w:sz="6" w:space="0" w:color="auto"/>
              <w:bottom w:val="nil"/>
              <w:right w:val="nil"/>
            </w:tcBorders>
            <w:vAlign w:val="bottom"/>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w:t>
            </w:r>
          </w:p>
        </w:tc>
      </w:tr>
      <w:tr w:rsidR="00542E00" w:rsidRPr="00AE0D77" w:rsidTr="00FC4D38">
        <w:trPr>
          <w:cantSplit/>
        </w:trPr>
        <w:tc>
          <w:tcPr>
            <w:tcW w:w="1402" w:type="dxa"/>
            <w:tcBorders>
              <w:top w:val="nil"/>
              <w:left w:val="nil"/>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2014</w:t>
            </w:r>
            <w:r w:rsidRPr="00AE0D77">
              <w:rPr>
                <w:rFonts w:eastAsia="標楷體"/>
                <w:sz w:val="22"/>
              </w:rPr>
              <w:t>年</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0.0</w:t>
            </w: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2.1</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73.1</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4.7</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85.8</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5.5</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-12.7</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2.7</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w:t>
            </w:r>
          </w:p>
        </w:tc>
      </w:tr>
      <w:tr w:rsidR="00542E00" w:rsidRPr="00AE0D77" w:rsidTr="00FC4D38">
        <w:trPr>
          <w:cantSplit/>
        </w:trPr>
        <w:tc>
          <w:tcPr>
            <w:tcW w:w="1402" w:type="dxa"/>
            <w:tcBorders>
              <w:top w:val="nil"/>
              <w:left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2015</w:t>
            </w:r>
            <w:r w:rsidRPr="00AE0D77">
              <w:rPr>
                <w:rFonts w:eastAsia="標楷體"/>
                <w:sz w:val="22"/>
              </w:rPr>
              <w:t>年</w:t>
            </w:r>
          </w:p>
        </w:tc>
        <w:tc>
          <w:tcPr>
            <w:tcW w:w="1080" w:type="dxa"/>
            <w:tcBorders>
              <w:top w:val="nil"/>
              <w:left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0.6</w:t>
            </w:r>
          </w:p>
        </w:tc>
        <w:tc>
          <w:tcPr>
            <w:tcW w:w="772" w:type="dxa"/>
            <w:tcBorders>
              <w:top w:val="nil"/>
              <w:left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w:t>
            </w:r>
          </w:p>
        </w:tc>
        <w:tc>
          <w:tcPr>
            <w:tcW w:w="840" w:type="dxa"/>
            <w:tcBorders>
              <w:top w:val="nil"/>
              <w:left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75.6</w:t>
            </w:r>
          </w:p>
        </w:tc>
        <w:tc>
          <w:tcPr>
            <w:tcW w:w="784" w:type="dxa"/>
            <w:tcBorders>
              <w:top w:val="nil"/>
              <w:left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3.4</w:t>
            </w:r>
          </w:p>
        </w:tc>
        <w:tc>
          <w:tcPr>
            <w:tcW w:w="853" w:type="dxa"/>
            <w:tcBorders>
              <w:top w:val="nil"/>
              <w:left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78.4</w:t>
            </w:r>
          </w:p>
        </w:tc>
        <w:tc>
          <w:tcPr>
            <w:tcW w:w="784" w:type="dxa"/>
            <w:tcBorders>
              <w:top w:val="nil"/>
              <w:left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-8.6</w:t>
            </w:r>
          </w:p>
        </w:tc>
        <w:tc>
          <w:tcPr>
            <w:tcW w:w="910" w:type="dxa"/>
            <w:tcBorders>
              <w:top w:val="nil"/>
              <w:left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-2.54</w:t>
            </w:r>
          </w:p>
        </w:tc>
        <w:tc>
          <w:tcPr>
            <w:tcW w:w="854" w:type="dxa"/>
            <w:tcBorders>
              <w:top w:val="nil"/>
              <w:left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0.5</w:t>
            </w:r>
          </w:p>
        </w:tc>
        <w:tc>
          <w:tcPr>
            <w:tcW w:w="835" w:type="dxa"/>
            <w:tcBorders>
              <w:top w:val="nil"/>
              <w:left w:val="single" w:sz="6" w:space="0" w:color="auto"/>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3.4</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2016</w:t>
            </w:r>
            <w:r w:rsidRPr="00AE0D77">
              <w:rPr>
                <w:rFonts w:eastAsia="標楷體"/>
                <w:sz w:val="22"/>
              </w:rPr>
              <w:t>年</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w:t>
            </w: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-0.2</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70.03</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-7.3</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65.91</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-15.9</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4.12</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-0.1</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3.1</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5.89</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-10.1</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5.07</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-23.3</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0.82</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-0.3</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5.09</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-11.3</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5.13</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-13.8</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-0.04</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0.7</w:t>
            </w:r>
            <w:r w:rsidRPr="00AE0D77">
              <w:rPr>
                <w:rFonts w:eastAsia="標楷體"/>
                <w:sz w:val="22"/>
              </w:rPr>
              <w:t>（</w:t>
            </w:r>
            <w:r w:rsidRPr="00AE0D77">
              <w:rPr>
                <w:rFonts w:eastAsia="標楷體"/>
                <w:sz w:val="22"/>
              </w:rPr>
              <w:t>II</w:t>
            </w:r>
            <w:r w:rsidRPr="00AE0D77">
              <w:rPr>
                <w:rFonts w:eastAsia="標楷體"/>
                <w:sz w:val="22"/>
              </w:rPr>
              <w:t>）</w:t>
            </w: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-1.5</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6.02</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-7.4</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5.33</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-18.8</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0.69</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3.1</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-4.2</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5.73</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-14.0</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5.21</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-24.7</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0.52</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3.0</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4.5</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5.32</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-9.6</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5.34</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-17.3</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-0.02</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-0.5</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3.1</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9</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w:t>
            </w:r>
            <w:r w:rsidRPr="00AE0D77">
              <w:rPr>
                <w:rFonts w:eastAsia="標楷體"/>
                <w:sz w:val="22"/>
              </w:rPr>
              <w:t>（</w:t>
            </w:r>
            <w:r w:rsidRPr="00AE0D77">
              <w:rPr>
                <w:rFonts w:eastAsia="標楷體"/>
                <w:sz w:val="22"/>
              </w:rPr>
              <w:t>III</w:t>
            </w:r>
            <w:r w:rsidRPr="00AE0D77">
              <w:rPr>
                <w:rFonts w:eastAsia="標楷體"/>
                <w:sz w:val="22"/>
              </w:rPr>
              <w:t>）</w:t>
            </w: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1.5</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5.97</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-6.9</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5.47</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-16.3</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0.5</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-0.5</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3.0</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-1.4</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5.87</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-10.3</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5.37</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-16.5</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0.5</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0.1</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3.0</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4.6</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5.96</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-0.4</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5.80</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-8.8</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0.16</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0.5</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3.1</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w:t>
            </w:r>
            <w:r w:rsidRPr="00AE0D77">
              <w:rPr>
                <w:rFonts w:eastAsia="標楷體"/>
                <w:sz w:val="22"/>
              </w:rPr>
              <w:t>（</w:t>
            </w:r>
            <w:r w:rsidRPr="00AE0D77">
              <w:rPr>
                <w:rFonts w:eastAsia="標楷體"/>
                <w:sz w:val="22"/>
              </w:rPr>
              <w:t>IV</w:t>
            </w:r>
            <w:r w:rsidRPr="00AE0D77">
              <w:rPr>
                <w:rFonts w:eastAsia="標楷體"/>
                <w:sz w:val="22"/>
              </w:rPr>
              <w:t>）</w:t>
            </w: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6.68</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5.4</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6.04</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-2.6</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0.64</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0.3</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3.1</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2017</w:t>
            </w:r>
            <w:r w:rsidRPr="00AE0D77">
              <w:rPr>
                <w:rFonts w:eastAsia="標楷體"/>
                <w:sz w:val="22"/>
              </w:rPr>
              <w:t>年</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31.16</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9.4</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30.55</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11.7</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0.61</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5.42</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1.3</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6.51</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8.5</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-1.09</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3.0</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4.7</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6.34</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11.3</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5.53</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1.2</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0.81</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0.3</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2.8</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w:t>
            </w:r>
            <w:r w:rsidRPr="00AE0D77">
              <w:rPr>
                <w:rFonts w:eastAsia="標楷體"/>
                <w:sz w:val="22"/>
              </w:rPr>
              <w:t>（</w:t>
            </w:r>
            <w:r w:rsidRPr="00AE0D77">
              <w:rPr>
                <w:rFonts w:eastAsia="標楷體"/>
                <w:sz w:val="22"/>
              </w:rPr>
              <w:t>I</w:t>
            </w:r>
            <w:r w:rsidRPr="00AE0D77">
              <w:rPr>
                <w:rFonts w:eastAsia="標楷體"/>
                <w:sz w:val="22"/>
              </w:rPr>
              <w:t>）</w:t>
            </w: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7.22</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12.0</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6.61</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15.8</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0.61</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0.2</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2.8</w:t>
            </w:r>
          </w:p>
        </w:tc>
      </w:tr>
      <w:tr w:rsidR="00542E00" w:rsidRPr="00AE0D77" w:rsidTr="00FC4D38">
        <w:trPr>
          <w:cantSplit/>
        </w:trPr>
        <w:tc>
          <w:tcPr>
            <w:tcW w:w="1402" w:type="dxa"/>
            <w:tcBorders>
              <w:top w:val="nil"/>
              <w:left w:val="nil"/>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w:t>
            </w:r>
            <w:r w:rsidRPr="00AE0D77">
              <w:rPr>
                <w:rFonts w:eastAsia="標楷體"/>
                <w:sz w:val="22"/>
              </w:rPr>
              <w:t>月</w:t>
            </w:r>
          </w:p>
        </w:tc>
        <w:tc>
          <w:tcPr>
            <w:tcW w:w="1080"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w:t>
            </w:r>
          </w:p>
        </w:tc>
        <w:tc>
          <w:tcPr>
            <w:tcW w:w="84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6.33</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7.5</w:t>
            </w:r>
          </w:p>
        </w:tc>
        <w:tc>
          <w:tcPr>
            <w:tcW w:w="853"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5.85</w:t>
            </w:r>
          </w:p>
        </w:tc>
        <w:tc>
          <w:tcPr>
            <w:tcW w:w="784"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2.8</w:t>
            </w:r>
          </w:p>
        </w:tc>
        <w:tc>
          <w:tcPr>
            <w:tcW w:w="910" w:type="dxa"/>
            <w:tcBorders>
              <w:top w:val="nil"/>
              <w:left w:val="single" w:sz="6" w:space="0" w:color="auto"/>
              <w:bottom w:val="nil"/>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0.48</w:t>
            </w:r>
          </w:p>
        </w:tc>
        <w:tc>
          <w:tcPr>
            <w:tcW w:w="854"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835"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2.8</w:t>
            </w:r>
          </w:p>
        </w:tc>
      </w:tr>
      <w:tr w:rsidR="00542E00" w:rsidRPr="00AE0D77" w:rsidTr="00FC4D38">
        <w:trPr>
          <w:cantSplit/>
        </w:trPr>
        <w:tc>
          <w:tcPr>
            <w:tcW w:w="1402" w:type="dxa"/>
            <w:tcBorders>
              <w:top w:val="nil"/>
              <w:left w:val="nil"/>
              <w:bottom w:val="single" w:sz="4"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w:t>
            </w:r>
            <w:r w:rsidRPr="00AE0D77">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w:t>
            </w:r>
          </w:p>
        </w:tc>
        <w:tc>
          <w:tcPr>
            <w:tcW w:w="840" w:type="dxa"/>
            <w:tcBorders>
              <w:top w:val="nil"/>
              <w:left w:val="single" w:sz="6" w:space="0" w:color="auto"/>
              <w:bottom w:val="single" w:sz="4" w:space="0" w:color="auto"/>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5.85</w:t>
            </w:r>
          </w:p>
        </w:tc>
        <w:tc>
          <w:tcPr>
            <w:tcW w:w="784" w:type="dxa"/>
            <w:tcBorders>
              <w:top w:val="nil"/>
              <w:left w:val="single" w:sz="6" w:space="0" w:color="auto"/>
              <w:bottom w:val="single" w:sz="4" w:space="0" w:color="auto"/>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14.9</w:t>
            </w:r>
          </w:p>
        </w:tc>
        <w:tc>
          <w:tcPr>
            <w:tcW w:w="853" w:type="dxa"/>
            <w:tcBorders>
              <w:top w:val="nil"/>
              <w:left w:val="single" w:sz="6" w:space="0" w:color="auto"/>
              <w:bottom w:val="single" w:sz="4" w:space="0" w:color="auto"/>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6.05</w:t>
            </w:r>
          </w:p>
        </w:tc>
        <w:tc>
          <w:tcPr>
            <w:tcW w:w="784" w:type="dxa"/>
            <w:tcBorders>
              <w:top w:val="nil"/>
              <w:left w:val="single" w:sz="6" w:space="0" w:color="auto"/>
              <w:bottom w:val="single" w:sz="4" w:space="0" w:color="auto"/>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17.8</w:t>
            </w:r>
          </w:p>
        </w:tc>
        <w:tc>
          <w:tcPr>
            <w:tcW w:w="910" w:type="dxa"/>
            <w:tcBorders>
              <w:top w:val="nil"/>
              <w:left w:val="single" w:sz="6" w:space="0" w:color="auto"/>
              <w:bottom w:val="single" w:sz="4" w:space="0" w:color="auto"/>
              <w:right w:val="single" w:sz="6" w:space="0" w:color="auto"/>
            </w:tcBorders>
            <w:vAlign w:val="center"/>
          </w:tcPr>
          <w:p w:rsidR="00542E00" w:rsidRPr="00AE0D77" w:rsidRDefault="00542E00" w:rsidP="00FC4D38">
            <w:pPr>
              <w:jc w:val="center"/>
              <w:rPr>
                <w:rFonts w:eastAsia="標楷體"/>
                <w:sz w:val="22"/>
              </w:rPr>
            </w:pPr>
            <w:r w:rsidRPr="00AE0D77">
              <w:rPr>
                <w:rFonts w:eastAsia="標楷體"/>
                <w:sz w:val="22"/>
              </w:rPr>
              <w:t>-0.2</w:t>
            </w:r>
          </w:p>
        </w:tc>
        <w:tc>
          <w:tcPr>
            <w:tcW w:w="854" w:type="dxa"/>
            <w:tcBorders>
              <w:top w:val="nil"/>
              <w:left w:val="single" w:sz="6" w:space="0" w:color="auto"/>
              <w:bottom w:val="single" w:sz="4"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w:t>
            </w:r>
          </w:p>
        </w:tc>
        <w:tc>
          <w:tcPr>
            <w:tcW w:w="835" w:type="dxa"/>
            <w:tcBorders>
              <w:top w:val="nil"/>
              <w:left w:val="single" w:sz="6" w:space="0" w:color="auto"/>
              <w:bottom w:val="single" w:sz="4" w:space="0" w:color="auto"/>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w:t>
            </w:r>
          </w:p>
        </w:tc>
      </w:tr>
    </w:tbl>
    <w:p w:rsidR="00FF38F9" w:rsidRPr="00AE0D77" w:rsidRDefault="00FF38F9" w:rsidP="00FF38F9">
      <w:pPr>
        <w:widowControl/>
        <w:snapToGrid w:val="0"/>
        <w:spacing w:line="280" w:lineRule="exact"/>
        <w:ind w:left="447" w:rightChars="-295" w:right="-708" w:hangingChars="203" w:hanging="447"/>
        <w:rPr>
          <w:rFonts w:eastAsia="標楷體"/>
          <w:kern w:val="0"/>
          <w:sz w:val="22"/>
          <w:szCs w:val="22"/>
        </w:rPr>
      </w:pPr>
      <w:r w:rsidRPr="00AE0D77">
        <w:rPr>
          <w:rFonts w:eastAsia="標楷體"/>
          <w:kern w:val="0"/>
          <w:sz w:val="22"/>
          <w:szCs w:val="22"/>
        </w:rPr>
        <w:t>註：除實質</w:t>
      </w:r>
      <w:r w:rsidRPr="00AE0D77">
        <w:rPr>
          <w:rFonts w:eastAsia="標楷體"/>
          <w:kern w:val="0"/>
          <w:sz w:val="22"/>
          <w:szCs w:val="22"/>
        </w:rPr>
        <w:t>GDP</w:t>
      </w:r>
      <w:r w:rsidRPr="00AE0D77">
        <w:rPr>
          <w:rFonts w:eastAsia="標楷體"/>
          <w:kern w:val="0"/>
          <w:sz w:val="22"/>
          <w:szCs w:val="22"/>
        </w:rPr>
        <w:t>經濟成長率為較前期比換算為年率、失業率為與前月相比之季節調整值外，其餘成長率皆為與上年同期相比資料。</w:t>
      </w:r>
    </w:p>
    <w:p w:rsidR="008905B7" w:rsidRPr="00AE0D77" w:rsidRDefault="00FF38F9" w:rsidP="00FF38F9">
      <w:pPr>
        <w:widowControl/>
        <w:snapToGrid w:val="0"/>
        <w:spacing w:line="280" w:lineRule="exact"/>
        <w:ind w:left="447" w:rightChars="-295" w:right="-708" w:hangingChars="203" w:hanging="447"/>
        <w:rPr>
          <w:rFonts w:eastAsia="標楷體"/>
          <w:b/>
          <w:bCs/>
          <w:sz w:val="28"/>
          <w:szCs w:val="32"/>
          <w:lang w:val="zh-TW"/>
        </w:rPr>
      </w:pPr>
      <w:r w:rsidRPr="00AE0D77">
        <w:rPr>
          <w:rFonts w:eastAsia="標楷體"/>
          <w:kern w:val="0"/>
          <w:sz w:val="22"/>
          <w:szCs w:val="22"/>
        </w:rPr>
        <w:t>資料來源：日本內閣府、經濟產業省、財務省、總務省。</w:t>
      </w:r>
    </w:p>
    <w:p w:rsidR="006D20BB" w:rsidRPr="00AE0D77" w:rsidRDefault="006D20BB" w:rsidP="006D20BB">
      <w:pPr>
        <w:widowControl/>
        <w:snapToGrid w:val="0"/>
        <w:spacing w:line="280" w:lineRule="exact"/>
        <w:ind w:left="110" w:rightChars="-295" w:right="-708" w:hangingChars="50" w:hanging="110"/>
        <w:rPr>
          <w:rFonts w:eastAsia="標楷體"/>
          <w:kern w:val="0"/>
          <w:sz w:val="22"/>
          <w:szCs w:val="22"/>
        </w:rPr>
      </w:pPr>
    </w:p>
    <w:p w:rsidR="008A0333" w:rsidRPr="00AE0D77" w:rsidRDefault="008A0333" w:rsidP="008A0333">
      <w:pPr>
        <w:snapToGrid w:val="0"/>
        <w:spacing w:before="60" w:line="300" w:lineRule="auto"/>
        <w:ind w:right="-227"/>
        <w:jc w:val="both"/>
        <w:rPr>
          <w:rFonts w:eastAsia="標楷體"/>
          <w:sz w:val="28"/>
          <w:szCs w:val="32"/>
        </w:rPr>
      </w:pPr>
    </w:p>
    <w:p w:rsidR="00906748" w:rsidRPr="00AE0D77" w:rsidRDefault="008A63EF" w:rsidP="008A63EF">
      <w:pPr>
        <w:widowControl/>
        <w:rPr>
          <w:rFonts w:eastAsia="標楷體"/>
          <w:sz w:val="28"/>
          <w:szCs w:val="32"/>
        </w:rPr>
      </w:pPr>
      <w:r w:rsidRPr="00AE0D77">
        <w:rPr>
          <w:rFonts w:eastAsia="標楷體"/>
          <w:sz w:val="28"/>
          <w:szCs w:val="32"/>
        </w:rPr>
        <w:br w:type="page"/>
      </w:r>
    </w:p>
    <w:p w:rsidR="00812880" w:rsidRPr="00AE0D77" w:rsidRDefault="00812880" w:rsidP="00812880">
      <w:pPr>
        <w:pStyle w:val="k3a"/>
        <w:tabs>
          <w:tab w:val="left" w:pos="540"/>
        </w:tabs>
        <w:spacing w:before="180" w:line="300" w:lineRule="auto"/>
        <w:ind w:leftChars="0" w:left="0" w:firstLineChars="0" w:firstLine="0"/>
        <w:rPr>
          <w:b/>
          <w:bCs/>
          <w:szCs w:val="28"/>
        </w:rPr>
      </w:pPr>
      <w:r w:rsidRPr="00AE0D77">
        <w:rPr>
          <w:b/>
          <w:bCs/>
          <w:szCs w:val="28"/>
        </w:rPr>
        <w:t>２、南韓</w:t>
      </w:r>
    </w:p>
    <w:p w:rsidR="00542E00" w:rsidRPr="00AE0D77" w:rsidRDefault="00542E00" w:rsidP="00542E00">
      <w:pPr>
        <w:numPr>
          <w:ilvl w:val="0"/>
          <w:numId w:val="6"/>
        </w:numPr>
        <w:snapToGrid w:val="0"/>
        <w:spacing w:beforeLines="50" w:before="180" w:line="300" w:lineRule="auto"/>
        <w:ind w:left="644" w:right="-227"/>
        <w:jc w:val="both"/>
        <w:rPr>
          <w:rFonts w:eastAsia="標楷體"/>
          <w:sz w:val="28"/>
          <w:szCs w:val="28"/>
        </w:rPr>
      </w:pPr>
      <w:r w:rsidRPr="00AE0D77">
        <w:rPr>
          <w:rFonts w:eastAsia="標楷體"/>
          <w:sz w:val="28"/>
          <w:szCs w:val="28"/>
        </w:rPr>
        <w:t>韓國銀行於今年</w:t>
      </w:r>
      <w:r w:rsidRPr="00AE0D77">
        <w:rPr>
          <w:rFonts w:eastAsia="標楷體"/>
          <w:sz w:val="28"/>
          <w:szCs w:val="28"/>
        </w:rPr>
        <w:t>6</w:t>
      </w:r>
      <w:r w:rsidRPr="00AE0D77">
        <w:rPr>
          <w:rFonts w:eastAsia="標楷體"/>
          <w:sz w:val="28"/>
          <w:szCs w:val="28"/>
        </w:rPr>
        <w:t>月</w:t>
      </w:r>
      <w:r w:rsidRPr="00AE0D77">
        <w:rPr>
          <w:rFonts w:eastAsia="標楷體"/>
          <w:sz w:val="28"/>
          <w:szCs w:val="28"/>
        </w:rPr>
        <w:t>2</w:t>
      </w:r>
      <w:r w:rsidRPr="00AE0D77">
        <w:rPr>
          <w:rFonts w:eastAsia="標楷體"/>
          <w:sz w:val="28"/>
          <w:szCs w:val="28"/>
        </w:rPr>
        <w:t>日上修今年第</w:t>
      </w:r>
      <w:r w:rsidRPr="00AE0D77">
        <w:rPr>
          <w:rFonts w:eastAsia="標楷體"/>
          <w:sz w:val="28"/>
          <w:szCs w:val="28"/>
        </w:rPr>
        <w:t>1</w:t>
      </w:r>
      <w:r w:rsidRPr="00AE0D77">
        <w:rPr>
          <w:rFonts w:eastAsia="標楷體"/>
          <w:sz w:val="28"/>
          <w:szCs w:val="28"/>
        </w:rPr>
        <w:t>季經濟成長率</w:t>
      </w:r>
      <w:r w:rsidRPr="00AE0D77">
        <w:rPr>
          <w:rFonts w:eastAsia="標楷體"/>
          <w:sz w:val="28"/>
          <w:szCs w:val="28"/>
        </w:rPr>
        <w:t>0.2</w:t>
      </w:r>
      <w:r w:rsidRPr="00AE0D77">
        <w:rPr>
          <w:rFonts w:eastAsia="標楷體"/>
          <w:sz w:val="28"/>
          <w:szCs w:val="28"/>
        </w:rPr>
        <w:t>個百分點，月增</w:t>
      </w:r>
      <w:r w:rsidRPr="00AE0D77">
        <w:rPr>
          <w:rFonts w:eastAsia="標楷體"/>
          <w:sz w:val="28"/>
          <w:szCs w:val="28"/>
        </w:rPr>
        <w:t>1.1%</w:t>
      </w:r>
      <w:r w:rsidRPr="00AE0D77">
        <w:rPr>
          <w:rFonts w:eastAsia="標楷體"/>
          <w:sz w:val="28"/>
          <w:szCs w:val="28"/>
        </w:rPr>
        <w:t>，年增</w:t>
      </w:r>
      <w:r w:rsidRPr="00AE0D77">
        <w:rPr>
          <w:rFonts w:eastAsia="標楷體"/>
          <w:sz w:val="28"/>
          <w:szCs w:val="28"/>
        </w:rPr>
        <w:t>2.9%</w:t>
      </w:r>
      <w:r w:rsidRPr="00AE0D77">
        <w:rPr>
          <w:rFonts w:eastAsia="標楷體"/>
          <w:sz w:val="28"/>
          <w:szCs w:val="28"/>
        </w:rPr>
        <w:t>，主要係受惠於營建業提振。環球透視機構（</w:t>
      </w:r>
      <w:r w:rsidRPr="00AE0D77">
        <w:rPr>
          <w:rFonts w:eastAsia="標楷體"/>
          <w:sz w:val="28"/>
          <w:szCs w:val="28"/>
        </w:rPr>
        <w:t>Global Insight</w:t>
      </w:r>
      <w:r w:rsidRPr="00AE0D77">
        <w:rPr>
          <w:rFonts w:eastAsia="標楷體"/>
          <w:sz w:val="28"/>
          <w:szCs w:val="28"/>
        </w:rPr>
        <w:t>）今年</w:t>
      </w:r>
      <w:r w:rsidRPr="00AE0D77">
        <w:rPr>
          <w:rFonts w:eastAsia="標楷體"/>
          <w:sz w:val="28"/>
          <w:szCs w:val="28"/>
        </w:rPr>
        <w:t>6</w:t>
      </w:r>
      <w:r w:rsidRPr="00AE0D77">
        <w:rPr>
          <w:rFonts w:eastAsia="標楷體"/>
          <w:sz w:val="28"/>
          <w:szCs w:val="28"/>
        </w:rPr>
        <w:t>月最新預測，上修韓國今年經濟成長率至</w:t>
      </w:r>
      <w:r w:rsidRPr="00AE0D77">
        <w:rPr>
          <w:rFonts w:eastAsia="標楷體"/>
          <w:sz w:val="28"/>
          <w:szCs w:val="28"/>
        </w:rPr>
        <w:t>2.8%</w:t>
      </w:r>
      <w:r w:rsidRPr="00AE0D77">
        <w:rPr>
          <w:rFonts w:eastAsia="標楷體"/>
          <w:sz w:val="28"/>
          <w:szCs w:val="28"/>
        </w:rPr>
        <w:t>。</w:t>
      </w:r>
    </w:p>
    <w:p w:rsidR="00542E00" w:rsidRPr="00AE0D77" w:rsidRDefault="00542E00" w:rsidP="00542E00">
      <w:pPr>
        <w:numPr>
          <w:ilvl w:val="0"/>
          <w:numId w:val="6"/>
        </w:numPr>
        <w:snapToGrid w:val="0"/>
        <w:spacing w:beforeLines="50" w:before="180" w:line="300" w:lineRule="auto"/>
        <w:ind w:left="644" w:right="-227"/>
        <w:jc w:val="both"/>
        <w:rPr>
          <w:rFonts w:eastAsia="標楷體"/>
          <w:sz w:val="28"/>
          <w:szCs w:val="28"/>
        </w:rPr>
      </w:pPr>
      <w:r w:rsidRPr="00AE0D77">
        <w:rPr>
          <w:rFonts w:eastAsia="標楷體"/>
          <w:sz w:val="28"/>
          <w:szCs w:val="28"/>
        </w:rPr>
        <w:t>韓國今年</w:t>
      </w:r>
      <w:r w:rsidRPr="00AE0D77">
        <w:rPr>
          <w:rFonts w:eastAsia="標楷體"/>
          <w:sz w:val="28"/>
          <w:szCs w:val="28"/>
        </w:rPr>
        <w:t>5</w:t>
      </w:r>
      <w:r w:rsidRPr="00AE0D77">
        <w:rPr>
          <w:rFonts w:eastAsia="標楷體"/>
          <w:sz w:val="28"/>
          <w:szCs w:val="28"/>
        </w:rPr>
        <w:t>月出口額為</w:t>
      </w:r>
      <w:r w:rsidRPr="00AE0D77">
        <w:rPr>
          <w:rFonts w:eastAsia="標楷體"/>
          <w:sz w:val="28"/>
          <w:szCs w:val="28"/>
        </w:rPr>
        <w:t>450</w:t>
      </w:r>
      <w:r w:rsidRPr="00AE0D77">
        <w:rPr>
          <w:rFonts w:eastAsia="標楷體"/>
          <w:sz w:val="28"/>
          <w:szCs w:val="28"/>
        </w:rPr>
        <w:t>億美元，較上年增加</w:t>
      </w:r>
      <w:r w:rsidRPr="00AE0D77">
        <w:rPr>
          <w:rFonts w:eastAsia="標楷體"/>
          <w:sz w:val="28"/>
          <w:szCs w:val="28"/>
        </w:rPr>
        <w:t>13.4%</w:t>
      </w:r>
      <w:r w:rsidRPr="00AE0D77">
        <w:rPr>
          <w:rFonts w:eastAsia="標楷體"/>
          <w:sz w:val="28"/>
          <w:szCs w:val="28"/>
        </w:rPr>
        <w:t>，進口額為</w:t>
      </w:r>
      <w:r w:rsidRPr="00AE0D77">
        <w:rPr>
          <w:rFonts w:eastAsia="標楷體"/>
          <w:sz w:val="28"/>
          <w:szCs w:val="28"/>
        </w:rPr>
        <w:t>390</w:t>
      </w:r>
      <w:r w:rsidRPr="00AE0D77">
        <w:rPr>
          <w:rFonts w:eastAsia="標楷體"/>
          <w:sz w:val="28"/>
          <w:szCs w:val="28"/>
        </w:rPr>
        <w:t>億美元，增加</w:t>
      </w:r>
      <w:r w:rsidRPr="00AE0D77">
        <w:rPr>
          <w:rFonts w:eastAsia="標楷體"/>
          <w:sz w:val="28"/>
          <w:szCs w:val="28"/>
        </w:rPr>
        <w:t>18.2%</w:t>
      </w:r>
      <w:r w:rsidRPr="00AE0D77">
        <w:rPr>
          <w:rFonts w:eastAsia="標楷體"/>
          <w:sz w:val="28"/>
          <w:szCs w:val="28"/>
        </w:rPr>
        <w:t>，貿易順差</w:t>
      </w:r>
      <w:r w:rsidRPr="00AE0D77">
        <w:rPr>
          <w:rFonts w:eastAsia="標楷體"/>
          <w:sz w:val="28"/>
          <w:szCs w:val="28"/>
        </w:rPr>
        <w:t>60</w:t>
      </w:r>
      <w:r w:rsidRPr="00AE0D77">
        <w:rPr>
          <w:rFonts w:eastAsia="標楷體"/>
          <w:sz w:val="28"/>
          <w:szCs w:val="28"/>
        </w:rPr>
        <w:t>億美元。</w:t>
      </w:r>
      <w:r w:rsidRPr="00AE0D77">
        <w:rPr>
          <w:rFonts w:eastAsia="標楷體"/>
          <w:sz w:val="28"/>
          <w:szCs w:val="28"/>
        </w:rPr>
        <w:t>13</w:t>
      </w:r>
      <w:r w:rsidRPr="00AE0D77">
        <w:rPr>
          <w:rFonts w:eastAsia="標楷體"/>
          <w:sz w:val="28"/>
          <w:szCs w:val="28"/>
        </w:rPr>
        <w:t>大主要出口項目中，除紡織減少</w:t>
      </w:r>
      <w:r w:rsidRPr="00AE0D77">
        <w:rPr>
          <w:rFonts w:eastAsia="標楷體"/>
          <w:sz w:val="28"/>
          <w:szCs w:val="28"/>
        </w:rPr>
        <w:t>2.5%</w:t>
      </w:r>
      <w:r w:rsidRPr="00AE0D77">
        <w:rPr>
          <w:rFonts w:eastAsia="標楷體"/>
          <w:sz w:val="28"/>
          <w:szCs w:val="28"/>
        </w:rPr>
        <w:t>、汽車零件減少</w:t>
      </w:r>
      <w:r w:rsidRPr="00AE0D77">
        <w:rPr>
          <w:rFonts w:eastAsia="標楷體"/>
          <w:sz w:val="28"/>
          <w:szCs w:val="28"/>
        </w:rPr>
        <w:t>12.4%</w:t>
      </w:r>
      <w:r w:rsidRPr="00AE0D77">
        <w:rPr>
          <w:rFonts w:eastAsia="標楷體"/>
          <w:sz w:val="28"/>
          <w:szCs w:val="28"/>
        </w:rPr>
        <w:t>、家電製品減少</w:t>
      </w:r>
      <w:r w:rsidRPr="00AE0D77">
        <w:rPr>
          <w:rFonts w:eastAsia="標楷體"/>
          <w:sz w:val="28"/>
          <w:szCs w:val="28"/>
        </w:rPr>
        <w:t>21.0%</w:t>
      </w:r>
      <w:r w:rsidRPr="00AE0D77">
        <w:rPr>
          <w:rFonts w:eastAsia="標楷體"/>
          <w:sz w:val="28"/>
          <w:szCs w:val="28"/>
        </w:rPr>
        <w:t>及無線通訊機器減少</w:t>
      </w:r>
      <w:r w:rsidRPr="00AE0D77">
        <w:rPr>
          <w:rFonts w:eastAsia="標楷體"/>
          <w:sz w:val="28"/>
          <w:szCs w:val="28"/>
        </w:rPr>
        <w:t>37.0%</w:t>
      </w:r>
      <w:r w:rsidRPr="00AE0D77">
        <w:rPr>
          <w:rFonts w:eastAsia="標楷體"/>
          <w:sz w:val="28"/>
          <w:szCs w:val="28"/>
        </w:rPr>
        <w:t>外，其餘項目增加，尤以半導體增加</w:t>
      </w:r>
      <w:r w:rsidRPr="00AE0D77">
        <w:rPr>
          <w:rFonts w:eastAsia="標楷體"/>
          <w:sz w:val="28"/>
          <w:szCs w:val="28"/>
        </w:rPr>
        <w:t>63.3%</w:t>
      </w:r>
      <w:r w:rsidRPr="00AE0D77">
        <w:rPr>
          <w:rFonts w:eastAsia="標楷體"/>
          <w:sz w:val="28"/>
          <w:szCs w:val="28"/>
        </w:rPr>
        <w:t>最多。主要出口地區，除對美國及中東出口分別衰退</w:t>
      </w:r>
      <w:r w:rsidRPr="00AE0D77">
        <w:rPr>
          <w:rFonts w:eastAsia="標楷體"/>
          <w:sz w:val="28"/>
          <w:szCs w:val="28"/>
        </w:rPr>
        <w:t>1.9%</w:t>
      </w:r>
      <w:r w:rsidRPr="00AE0D77">
        <w:rPr>
          <w:rFonts w:eastAsia="標楷體"/>
          <w:sz w:val="28"/>
          <w:szCs w:val="28"/>
        </w:rPr>
        <w:t>及</w:t>
      </w:r>
      <w:r w:rsidRPr="00AE0D77">
        <w:rPr>
          <w:rFonts w:eastAsia="標楷體"/>
          <w:sz w:val="28"/>
          <w:szCs w:val="28"/>
        </w:rPr>
        <w:t>2.8%</w:t>
      </w:r>
      <w:r w:rsidRPr="00AE0D77">
        <w:rPr>
          <w:rFonts w:eastAsia="標楷體"/>
          <w:sz w:val="28"/>
          <w:szCs w:val="28"/>
        </w:rPr>
        <w:t>外，對東協國家增加</w:t>
      </w:r>
      <w:r w:rsidRPr="00AE0D77">
        <w:rPr>
          <w:rFonts w:eastAsia="標楷體"/>
          <w:sz w:val="28"/>
          <w:szCs w:val="28"/>
        </w:rPr>
        <w:t>36.0%</w:t>
      </w:r>
      <w:r w:rsidRPr="00AE0D77">
        <w:rPr>
          <w:rFonts w:eastAsia="標楷體"/>
          <w:sz w:val="28"/>
          <w:szCs w:val="28"/>
        </w:rPr>
        <w:t>、歐盟增加</w:t>
      </w:r>
      <w:r w:rsidRPr="00AE0D77">
        <w:rPr>
          <w:rFonts w:eastAsia="標楷體"/>
          <w:sz w:val="28"/>
          <w:szCs w:val="28"/>
        </w:rPr>
        <w:t>21.9%</w:t>
      </w:r>
      <w:r w:rsidRPr="00AE0D77">
        <w:rPr>
          <w:rFonts w:eastAsia="標楷體"/>
          <w:sz w:val="28"/>
          <w:szCs w:val="28"/>
        </w:rPr>
        <w:t>、日本增加</w:t>
      </w:r>
      <w:r w:rsidRPr="00AE0D77">
        <w:rPr>
          <w:rFonts w:eastAsia="標楷體"/>
          <w:sz w:val="28"/>
          <w:szCs w:val="28"/>
        </w:rPr>
        <w:t>8.7%</w:t>
      </w:r>
      <w:r w:rsidRPr="00AE0D77">
        <w:rPr>
          <w:rFonts w:eastAsia="標楷體"/>
          <w:sz w:val="28"/>
          <w:szCs w:val="28"/>
        </w:rPr>
        <w:t>、中國大陸增加</w:t>
      </w:r>
      <w:r w:rsidRPr="00AE0D77">
        <w:rPr>
          <w:rFonts w:eastAsia="標楷體"/>
          <w:sz w:val="28"/>
          <w:szCs w:val="28"/>
        </w:rPr>
        <w:t>7.5%</w:t>
      </w:r>
      <w:r w:rsidRPr="00AE0D77">
        <w:rPr>
          <w:rFonts w:eastAsia="標楷體"/>
          <w:sz w:val="28"/>
          <w:szCs w:val="28"/>
        </w:rPr>
        <w:t>。</w:t>
      </w:r>
    </w:p>
    <w:p w:rsidR="00542E00" w:rsidRPr="00AE0D77" w:rsidRDefault="00542E00" w:rsidP="00542E00">
      <w:pPr>
        <w:numPr>
          <w:ilvl w:val="0"/>
          <w:numId w:val="6"/>
        </w:numPr>
        <w:snapToGrid w:val="0"/>
        <w:spacing w:beforeLines="50" w:before="180" w:line="300" w:lineRule="auto"/>
        <w:ind w:left="644" w:right="-227"/>
        <w:jc w:val="both"/>
        <w:rPr>
          <w:rFonts w:eastAsia="標楷體"/>
          <w:sz w:val="28"/>
          <w:szCs w:val="28"/>
        </w:rPr>
      </w:pPr>
      <w:r w:rsidRPr="00AE0D77">
        <w:rPr>
          <w:rFonts w:eastAsia="標楷體"/>
          <w:sz w:val="28"/>
          <w:szCs w:val="28"/>
        </w:rPr>
        <w:t>韓國今年</w:t>
      </w:r>
      <w:r w:rsidRPr="00AE0D77">
        <w:rPr>
          <w:rFonts w:eastAsia="標楷體"/>
          <w:sz w:val="28"/>
          <w:szCs w:val="28"/>
        </w:rPr>
        <w:t>4</w:t>
      </w:r>
      <w:r w:rsidRPr="00AE0D77">
        <w:rPr>
          <w:rFonts w:eastAsia="標楷體"/>
          <w:sz w:val="28"/>
          <w:szCs w:val="28"/>
        </w:rPr>
        <w:t>月工業生產增加</w:t>
      </w:r>
      <w:r w:rsidRPr="00AE0D77">
        <w:rPr>
          <w:rFonts w:eastAsia="標楷體"/>
          <w:sz w:val="28"/>
          <w:szCs w:val="28"/>
        </w:rPr>
        <w:t>1.7%</w:t>
      </w:r>
      <w:r w:rsidRPr="00AE0D77">
        <w:rPr>
          <w:rFonts w:eastAsia="標楷體"/>
          <w:sz w:val="28"/>
          <w:szCs w:val="28"/>
        </w:rPr>
        <w:t>；</w:t>
      </w:r>
      <w:r w:rsidRPr="00AE0D77">
        <w:rPr>
          <w:rFonts w:eastAsia="標楷體"/>
          <w:sz w:val="28"/>
          <w:szCs w:val="28"/>
        </w:rPr>
        <w:t>5</w:t>
      </w:r>
      <w:r w:rsidRPr="00AE0D77">
        <w:rPr>
          <w:rFonts w:eastAsia="標楷體"/>
          <w:sz w:val="28"/>
          <w:szCs w:val="28"/>
        </w:rPr>
        <w:t>月經季節調整後之失業率為</w:t>
      </w:r>
      <w:r w:rsidRPr="00AE0D77">
        <w:rPr>
          <w:rFonts w:eastAsia="標楷體"/>
          <w:sz w:val="28"/>
          <w:szCs w:val="28"/>
        </w:rPr>
        <w:t>3.6%</w:t>
      </w:r>
      <w:r w:rsidRPr="00AE0D77">
        <w:rPr>
          <w:rFonts w:eastAsia="標楷體"/>
          <w:sz w:val="28"/>
          <w:szCs w:val="28"/>
        </w:rPr>
        <w:t>；</w:t>
      </w:r>
      <w:r w:rsidRPr="00AE0D77">
        <w:rPr>
          <w:rFonts w:eastAsia="標楷體"/>
          <w:sz w:val="28"/>
          <w:szCs w:val="28"/>
        </w:rPr>
        <w:t>5</w:t>
      </w:r>
      <w:r w:rsidRPr="00AE0D77">
        <w:rPr>
          <w:rFonts w:eastAsia="標楷體"/>
          <w:sz w:val="28"/>
          <w:szCs w:val="28"/>
        </w:rPr>
        <w:t>月消費者物價指數較去年同月上升</w:t>
      </w:r>
      <w:r w:rsidRPr="00AE0D77">
        <w:rPr>
          <w:rFonts w:eastAsia="標楷體"/>
          <w:sz w:val="28"/>
          <w:szCs w:val="28"/>
        </w:rPr>
        <w:t>2.0%</w:t>
      </w:r>
      <w:r w:rsidRPr="00AE0D77">
        <w:rPr>
          <w:rFonts w:eastAsia="標楷體"/>
          <w:sz w:val="28"/>
          <w:szCs w:val="28"/>
        </w:rPr>
        <w:t>。</w:t>
      </w:r>
    </w:p>
    <w:p w:rsidR="00542E00" w:rsidRPr="00AE0D77" w:rsidRDefault="00542E00" w:rsidP="00542E00">
      <w:pPr>
        <w:numPr>
          <w:ilvl w:val="0"/>
          <w:numId w:val="6"/>
        </w:numPr>
        <w:snapToGrid w:val="0"/>
        <w:spacing w:beforeLines="50" w:before="180" w:line="300" w:lineRule="auto"/>
        <w:ind w:left="644" w:right="-227"/>
        <w:jc w:val="both"/>
        <w:rPr>
          <w:rFonts w:eastAsia="標楷體"/>
          <w:sz w:val="28"/>
          <w:szCs w:val="28"/>
        </w:rPr>
      </w:pPr>
      <w:r w:rsidRPr="00AE0D77">
        <w:rPr>
          <w:rFonts w:eastAsia="標楷體"/>
          <w:sz w:val="28"/>
          <w:szCs w:val="28"/>
        </w:rPr>
        <w:t>韓國將設立「第</w:t>
      </w:r>
      <w:r w:rsidRPr="00AE0D77">
        <w:rPr>
          <w:rFonts w:eastAsia="標楷體"/>
          <w:sz w:val="28"/>
          <w:szCs w:val="28"/>
        </w:rPr>
        <w:t>4</w:t>
      </w:r>
      <w:r w:rsidRPr="00AE0D77">
        <w:rPr>
          <w:rFonts w:eastAsia="標楷體"/>
          <w:sz w:val="28"/>
          <w:szCs w:val="28"/>
        </w:rPr>
        <w:t>次工業革命委員會」，由政府及民間人士籌組，直接隸屬於總統，並賦予委員長國務總理之位階，計劃於今年</w:t>
      </w:r>
      <w:r w:rsidRPr="00AE0D77">
        <w:rPr>
          <w:rFonts w:eastAsia="標楷體"/>
          <w:sz w:val="28"/>
          <w:szCs w:val="28"/>
        </w:rPr>
        <w:t>8</w:t>
      </w:r>
      <w:r w:rsidRPr="00AE0D77">
        <w:rPr>
          <w:rFonts w:eastAsia="標楷體"/>
          <w:sz w:val="28"/>
          <w:szCs w:val="28"/>
        </w:rPr>
        <w:t>月正式啟動，另亦將整合韓國企劃財政部營運中之「第</w:t>
      </w:r>
      <w:r w:rsidRPr="00AE0D77">
        <w:rPr>
          <w:rFonts w:eastAsia="標楷體"/>
          <w:sz w:val="28"/>
          <w:szCs w:val="28"/>
        </w:rPr>
        <w:t>4</w:t>
      </w:r>
      <w:r w:rsidRPr="00AE0D77">
        <w:rPr>
          <w:rFonts w:eastAsia="標楷體"/>
          <w:sz w:val="28"/>
          <w:szCs w:val="28"/>
        </w:rPr>
        <w:t>次工業革命指揮中心」為統籌執行機構。</w:t>
      </w:r>
    </w:p>
    <w:p w:rsidR="003D29D3" w:rsidRPr="00AE0D77" w:rsidRDefault="00542E00" w:rsidP="00542E00">
      <w:pPr>
        <w:pStyle w:val="afffff"/>
        <w:numPr>
          <w:ilvl w:val="0"/>
          <w:numId w:val="6"/>
        </w:numPr>
        <w:snapToGrid w:val="0"/>
        <w:spacing w:before="180" w:line="300" w:lineRule="auto"/>
        <w:ind w:leftChars="0" w:left="709" w:right="-227" w:firstLineChars="0" w:hanging="567"/>
        <w:rPr>
          <w:rFonts w:ascii="Times New Roman" w:eastAsia="標楷體" w:hAnsi="Times New Roman"/>
          <w:sz w:val="28"/>
          <w:szCs w:val="28"/>
        </w:rPr>
      </w:pPr>
      <w:r w:rsidRPr="00AE0D77">
        <w:rPr>
          <w:rFonts w:ascii="Times New Roman" w:eastAsia="標楷體" w:hAnsi="Times New Roman"/>
          <w:sz w:val="28"/>
          <w:szCs w:val="28"/>
        </w:rPr>
        <w:t>韓國與印度於今年</w:t>
      </w:r>
      <w:r w:rsidRPr="00AE0D77">
        <w:rPr>
          <w:rFonts w:ascii="Times New Roman" w:eastAsia="標楷體" w:hAnsi="Times New Roman"/>
          <w:sz w:val="28"/>
          <w:szCs w:val="28"/>
        </w:rPr>
        <w:t>6</w:t>
      </w:r>
      <w:r w:rsidRPr="00AE0D77">
        <w:rPr>
          <w:rFonts w:ascii="Times New Roman" w:eastAsia="標楷體" w:hAnsi="Times New Roman"/>
          <w:sz w:val="28"/>
          <w:szCs w:val="28"/>
        </w:rPr>
        <w:t>月</w:t>
      </w:r>
      <w:r w:rsidRPr="00AE0D77">
        <w:rPr>
          <w:rFonts w:ascii="Times New Roman" w:eastAsia="標楷體" w:hAnsi="Times New Roman"/>
          <w:sz w:val="28"/>
          <w:szCs w:val="28"/>
        </w:rPr>
        <w:t>14</w:t>
      </w:r>
      <w:r w:rsidRPr="00AE0D77">
        <w:rPr>
          <w:rFonts w:ascii="Times New Roman" w:eastAsia="標楷體" w:hAnsi="Times New Roman"/>
          <w:sz w:val="28"/>
          <w:szCs w:val="28"/>
        </w:rPr>
        <w:t>日舉行第</w:t>
      </w:r>
      <w:r w:rsidRPr="00AE0D77">
        <w:rPr>
          <w:rFonts w:ascii="Times New Roman" w:eastAsia="標楷體" w:hAnsi="Times New Roman"/>
          <w:sz w:val="28"/>
          <w:szCs w:val="28"/>
        </w:rPr>
        <w:t>5</w:t>
      </w:r>
      <w:r w:rsidRPr="00AE0D77">
        <w:rPr>
          <w:rFonts w:ascii="Times New Roman" w:eastAsia="標楷體" w:hAnsi="Times New Roman"/>
          <w:sz w:val="28"/>
          <w:szCs w:val="28"/>
        </w:rPr>
        <w:t>次韓印度財政部長會議，雙方就兩國總體經濟、財政、貿易、投資、產業合作及基礎建設等領域之合作方案及具體推動計畫進行討論，並對增進兩國經貿合作以促進經濟持續成長達成共識，將加強兩國於</w:t>
      </w:r>
      <w:r w:rsidRPr="00AE0D77">
        <w:rPr>
          <w:rFonts w:ascii="Times New Roman" w:eastAsia="標楷體" w:hAnsi="Times New Roman"/>
          <w:sz w:val="28"/>
          <w:szCs w:val="28"/>
        </w:rPr>
        <w:t>G20</w:t>
      </w:r>
      <w:r w:rsidRPr="00AE0D77">
        <w:rPr>
          <w:rFonts w:ascii="Times New Roman" w:eastAsia="標楷體" w:hAnsi="Times New Roman"/>
          <w:sz w:val="28"/>
          <w:szCs w:val="28"/>
        </w:rPr>
        <w:t>等多邊合作平臺之合作。在貿易、投資及產業合作方面，雙方認為兩國經濟合作應提升至「特別策略性夥伴」關係。</w:t>
      </w:r>
    </w:p>
    <w:p w:rsidR="00024EF7" w:rsidRPr="00AE0D77" w:rsidRDefault="00024EF7" w:rsidP="007A5F58">
      <w:pPr>
        <w:widowControl/>
        <w:rPr>
          <w:rFonts w:eastAsia="標楷體"/>
          <w:b/>
          <w:bCs/>
          <w:sz w:val="28"/>
          <w:szCs w:val="32"/>
          <w:lang w:val="zh-TW"/>
        </w:rPr>
      </w:pPr>
      <w:r w:rsidRPr="00AE0D77">
        <w:rPr>
          <w:rFonts w:eastAsia="標楷體"/>
          <w:b/>
          <w:bCs/>
          <w:sz w:val="28"/>
          <w:szCs w:val="32"/>
          <w:lang w:val="zh-TW"/>
        </w:rPr>
        <w:br w:type="page"/>
      </w:r>
    </w:p>
    <w:p w:rsidR="00EA5BC2" w:rsidRPr="00AE0D77" w:rsidRDefault="00EA5BC2" w:rsidP="00EA5BC2">
      <w:pPr>
        <w:snapToGrid w:val="0"/>
        <w:spacing w:before="120" w:line="300" w:lineRule="auto"/>
        <w:ind w:right="-227"/>
        <w:jc w:val="center"/>
        <w:rPr>
          <w:rFonts w:eastAsia="標楷體"/>
          <w:sz w:val="28"/>
          <w:szCs w:val="28"/>
        </w:rPr>
      </w:pPr>
      <w:r w:rsidRPr="00AE0D77">
        <w:rPr>
          <w:rFonts w:eastAsia="標楷體"/>
          <w:b/>
          <w:bCs/>
          <w:sz w:val="28"/>
          <w:szCs w:val="32"/>
          <w:lang w:val="zh-TW"/>
        </w:rPr>
        <w:t>表</w:t>
      </w:r>
      <w:r w:rsidRPr="00AE0D77">
        <w:rPr>
          <w:rFonts w:eastAsia="標楷體"/>
          <w:b/>
          <w:bCs/>
          <w:sz w:val="28"/>
          <w:szCs w:val="32"/>
          <w:lang w:val="zh-TW"/>
        </w:rPr>
        <w:t xml:space="preserve">1-3-2   </w:t>
      </w:r>
      <w:r w:rsidRPr="00AE0D77">
        <w:rPr>
          <w:rFonts w:eastAsia="標楷體"/>
          <w:b/>
          <w:bCs/>
          <w:sz w:val="28"/>
          <w:szCs w:val="32"/>
          <w:lang w:val="zh-TW"/>
        </w:rPr>
        <w:t>南韓重要經濟指標</w:t>
      </w:r>
    </w:p>
    <w:p w:rsidR="009E2424" w:rsidRPr="00AE0D77" w:rsidRDefault="00EA5BC2" w:rsidP="009E2424">
      <w:pPr>
        <w:snapToGrid w:val="0"/>
        <w:jc w:val="right"/>
        <w:rPr>
          <w:rFonts w:eastAsia="標楷體"/>
          <w:szCs w:val="28"/>
        </w:rPr>
      </w:pPr>
      <w:r w:rsidRPr="00AE0D77">
        <w:rPr>
          <w:rFonts w:eastAsia="標楷體"/>
          <w:sz w:val="28"/>
          <w:szCs w:val="32"/>
          <w:lang w:val="zh-TW"/>
        </w:rPr>
        <w:t xml:space="preserve">        </w:t>
      </w:r>
      <w:r w:rsidR="009E2424" w:rsidRPr="00AE0D77">
        <w:rPr>
          <w:rFonts w:eastAsia="標楷體"/>
          <w:szCs w:val="28"/>
          <w:lang w:val="zh-TW"/>
        </w:rPr>
        <w:t>單位：億美元；</w:t>
      </w:r>
      <w:r w:rsidR="009E2424" w:rsidRPr="00AE0D77">
        <w:rPr>
          <w:rFonts w:eastAsia="標楷體"/>
          <w:szCs w:val="28"/>
          <w:lang w:val="zh-TW"/>
        </w:rPr>
        <w:t>%</w:t>
      </w:r>
    </w:p>
    <w:tbl>
      <w:tblPr>
        <w:tblW w:w="8826"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6"/>
        <w:gridCol w:w="964"/>
        <w:gridCol w:w="909"/>
        <w:gridCol w:w="870"/>
        <w:gridCol w:w="818"/>
        <w:gridCol w:w="823"/>
        <w:gridCol w:w="720"/>
      </w:tblGrid>
      <w:tr w:rsidR="00542E00" w:rsidRPr="00AE0D77" w:rsidTr="00FC4D38">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lang w:val="zh-TW"/>
              </w:rPr>
              <w:t>年</w:t>
            </w:r>
            <w:r w:rsidRPr="00AE0D77">
              <w:rPr>
                <w:rFonts w:eastAsia="標楷體"/>
                <w:sz w:val="22"/>
              </w:rPr>
              <w:t>(</w:t>
            </w:r>
            <w:r w:rsidRPr="00AE0D77">
              <w:rPr>
                <w:rFonts w:eastAsia="標楷體"/>
                <w:sz w:val="22"/>
                <w:lang w:val="zh-TW"/>
              </w:rPr>
              <w:t>月</w:t>
            </w:r>
            <w:r w:rsidRPr="00AE0D77">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lang w:val="zh-TW"/>
              </w:rPr>
              <w:t>實質</w:t>
            </w:r>
          </w:p>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lang w:val="zh-TW"/>
              </w:rPr>
              <w:t>工業</w:t>
            </w:r>
          </w:p>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szCs w:val="20"/>
              </w:rPr>
            </w:pPr>
            <w:r w:rsidRPr="00AE0D77">
              <w:rPr>
                <w:rFonts w:eastAsia="標楷體"/>
                <w:sz w:val="22"/>
                <w:szCs w:val="20"/>
              </w:rPr>
              <w:t>貿</w:t>
            </w:r>
            <w:r w:rsidRPr="00AE0D77">
              <w:rPr>
                <w:rFonts w:eastAsia="標楷體"/>
                <w:sz w:val="22"/>
                <w:szCs w:val="20"/>
              </w:rPr>
              <w:t xml:space="preserve">    </w:t>
            </w:r>
            <w:r w:rsidRPr="00AE0D77">
              <w:rPr>
                <w:rFonts w:eastAsia="標楷體"/>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lang w:val="zh-TW"/>
              </w:rPr>
            </w:pPr>
            <w:r w:rsidRPr="00AE0D77">
              <w:rPr>
                <w:rFonts w:eastAsia="標楷體"/>
                <w:sz w:val="22"/>
                <w:lang w:val="zh-TW"/>
              </w:rPr>
              <w:t>消費者</w:t>
            </w:r>
          </w:p>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lang w:val="zh-TW"/>
              </w:rPr>
              <w:t>失業率</w:t>
            </w:r>
          </w:p>
        </w:tc>
      </w:tr>
      <w:tr w:rsidR="00542E00" w:rsidRPr="00AE0D77" w:rsidTr="00FC4D38">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542E00" w:rsidRPr="00AE0D77" w:rsidRDefault="00542E00" w:rsidP="00FC4D38">
            <w:pPr>
              <w:widowControl/>
              <w:spacing w:line="380" w:lineRule="exact"/>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spacing w:line="380" w:lineRule="exact"/>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542E00" w:rsidRPr="00AE0D77" w:rsidRDefault="00542E00" w:rsidP="00FC4D38">
            <w:pPr>
              <w:tabs>
                <w:tab w:val="left" w:pos="403"/>
                <w:tab w:val="center" w:pos="861"/>
              </w:tabs>
              <w:autoSpaceDE w:val="0"/>
              <w:autoSpaceDN w:val="0"/>
              <w:adjustRightInd w:val="0"/>
              <w:snapToGrid w:val="0"/>
              <w:spacing w:line="380" w:lineRule="exact"/>
              <w:rPr>
                <w:rFonts w:eastAsia="標楷體"/>
                <w:sz w:val="22"/>
              </w:rPr>
            </w:pPr>
            <w:r w:rsidRPr="00AE0D77">
              <w:rPr>
                <w:rFonts w:eastAsia="標楷體"/>
                <w:sz w:val="22"/>
              </w:rPr>
              <w:tab/>
            </w:r>
            <w:r w:rsidRPr="00AE0D77">
              <w:rPr>
                <w:rFonts w:eastAsia="標楷體"/>
                <w:sz w:val="22"/>
              </w:rPr>
              <w:tab/>
            </w:r>
            <w:r w:rsidRPr="00AE0D77">
              <w:rPr>
                <w:rFonts w:eastAsia="標楷體"/>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542E00">
            <w:pPr>
              <w:autoSpaceDE w:val="0"/>
              <w:autoSpaceDN w:val="0"/>
              <w:adjustRightInd w:val="0"/>
              <w:snapToGrid w:val="0"/>
              <w:spacing w:beforeLines="30" w:before="108" w:line="380" w:lineRule="exact"/>
              <w:jc w:val="center"/>
              <w:rPr>
                <w:rFonts w:eastAsia="標楷體"/>
                <w:sz w:val="22"/>
                <w:shd w:val="clear" w:color="auto" w:fill="FFFF99"/>
              </w:rPr>
            </w:pPr>
            <w:r w:rsidRPr="00AE0D77">
              <w:rPr>
                <w:rFonts w:eastAsia="標楷體"/>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542E00" w:rsidRPr="00AE0D77" w:rsidRDefault="00542E00" w:rsidP="00FC4D38">
            <w:pPr>
              <w:widowControl/>
              <w:spacing w:line="380" w:lineRule="exact"/>
              <w:rPr>
                <w:rFonts w:eastAsia="標楷體"/>
                <w:sz w:val="22"/>
              </w:rPr>
            </w:pPr>
          </w:p>
        </w:tc>
      </w:tr>
      <w:tr w:rsidR="00542E00" w:rsidRPr="00AE0D77" w:rsidTr="00FC4D38">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542E00" w:rsidRPr="00AE0D77" w:rsidRDefault="00542E00" w:rsidP="00FC4D38">
            <w:pPr>
              <w:widowControl/>
              <w:spacing w:line="380" w:lineRule="exact"/>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spacing w:line="380" w:lineRule="exact"/>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spacing w:line="380" w:lineRule="exact"/>
              <w:rPr>
                <w:rFonts w:eastAsia="標楷體"/>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42E00" w:rsidRPr="00AE0D77" w:rsidRDefault="00542E00" w:rsidP="00FC4D38">
            <w:pPr>
              <w:widowControl/>
              <w:spacing w:line="380" w:lineRule="exact"/>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542E00" w:rsidRPr="00AE0D77" w:rsidRDefault="00542E00" w:rsidP="00FC4D38">
            <w:pPr>
              <w:widowControl/>
              <w:spacing w:line="380" w:lineRule="exact"/>
              <w:rPr>
                <w:rFonts w:eastAsia="標楷體"/>
                <w:sz w:val="22"/>
              </w:rPr>
            </w:pPr>
          </w:p>
        </w:tc>
      </w:tr>
      <w:tr w:rsidR="00542E00" w:rsidRPr="00AE0D77" w:rsidTr="00FC4D38">
        <w:trPr>
          <w:cantSplit/>
        </w:trPr>
        <w:tc>
          <w:tcPr>
            <w:tcW w:w="1316" w:type="dxa"/>
            <w:tcBorders>
              <w:top w:val="nil"/>
              <w:left w:val="nil"/>
              <w:bottom w:val="nil"/>
              <w:right w:val="single" w:sz="6" w:space="0" w:color="auto"/>
            </w:tcBorders>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2012</w:t>
            </w:r>
            <w:r w:rsidRPr="00AE0D77">
              <w:rPr>
                <w:rFonts w:eastAsia="標楷體"/>
                <w:sz w:val="22"/>
              </w:rPr>
              <w:t>年</w:t>
            </w:r>
          </w:p>
        </w:tc>
        <w:tc>
          <w:tcPr>
            <w:tcW w:w="749" w:type="dxa"/>
            <w:tcBorders>
              <w:top w:val="nil"/>
              <w:left w:val="single" w:sz="6" w:space="0" w:color="auto"/>
              <w:bottom w:val="nil"/>
              <w:right w:val="single" w:sz="6" w:space="0" w:color="auto"/>
            </w:tcBorders>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2.3</w:t>
            </w:r>
          </w:p>
        </w:tc>
        <w:tc>
          <w:tcPr>
            <w:tcW w:w="801"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1.8</w:t>
            </w:r>
          </w:p>
        </w:tc>
        <w:tc>
          <w:tcPr>
            <w:tcW w:w="856" w:type="dxa"/>
            <w:tcBorders>
              <w:top w:val="nil"/>
              <w:left w:val="single" w:sz="6" w:space="0" w:color="auto"/>
              <w:bottom w:val="nil"/>
              <w:right w:val="single" w:sz="6" w:space="0" w:color="auto"/>
            </w:tcBorders>
            <w:vAlign w:val="bottom"/>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 xml:space="preserve">5,478.7 </w:t>
            </w:r>
          </w:p>
        </w:tc>
        <w:tc>
          <w:tcPr>
            <w:tcW w:w="964" w:type="dxa"/>
            <w:tcBorders>
              <w:top w:val="nil"/>
              <w:left w:val="single" w:sz="6" w:space="0" w:color="auto"/>
              <w:bottom w:val="nil"/>
              <w:right w:val="single" w:sz="6" w:space="0" w:color="auto"/>
            </w:tcBorders>
            <w:vAlign w:val="bottom"/>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 xml:space="preserve">-1.3 </w:t>
            </w:r>
          </w:p>
        </w:tc>
        <w:tc>
          <w:tcPr>
            <w:tcW w:w="909" w:type="dxa"/>
            <w:tcBorders>
              <w:top w:val="nil"/>
              <w:left w:val="single" w:sz="6" w:space="0" w:color="auto"/>
              <w:bottom w:val="nil"/>
              <w:right w:val="single" w:sz="6" w:space="0" w:color="auto"/>
            </w:tcBorders>
            <w:vAlign w:val="bottom"/>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5,195.8</w:t>
            </w:r>
          </w:p>
        </w:tc>
        <w:tc>
          <w:tcPr>
            <w:tcW w:w="870" w:type="dxa"/>
            <w:tcBorders>
              <w:top w:val="nil"/>
              <w:left w:val="single" w:sz="6" w:space="0" w:color="auto"/>
              <w:bottom w:val="nil"/>
              <w:right w:val="single" w:sz="6" w:space="0" w:color="auto"/>
            </w:tcBorders>
            <w:vAlign w:val="bottom"/>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-0.9</w:t>
            </w:r>
          </w:p>
        </w:tc>
        <w:tc>
          <w:tcPr>
            <w:tcW w:w="818" w:type="dxa"/>
            <w:tcBorders>
              <w:top w:val="nil"/>
              <w:left w:val="single" w:sz="6" w:space="0" w:color="auto"/>
              <w:bottom w:val="nil"/>
              <w:right w:val="single" w:sz="6" w:space="0" w:color="auto"/>
            </w:tcBorders>
            <w:vAlign w:val="bottom"/>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 xml:space="preserve">282.9 </w:t>
            </w:r>
          </w:p>
        </w:tc>
        <w:tc>
          <w:tcPr>
            <w:tcW w:w="823" w:type="dxa"/>
            <w:tcBorders>
              <w:top w:val="nil"/>
              <w:left w:val="single" w:sz="6" w:space="0" w:color="auto"/>
              <w:bottom w:val="nil"/>
              <w:right w:val="single" w:sz="6" w:space="0" w:color="auto"/>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2.2</w:t>
            </w:r>
          </w:p>
        </w:tc>
        <w:tc>
          <w:tcPr>
            <w:tcW w:w="720" w:type="dxa"/>
            <w:tcBorders>
              <w:top w:val="nil"/>
              <w:left w:val="single" w:sz="6" w:space="0" w:color="auto"/>
              <w:bottom w:val="nil"/>
              <w:right w:val="nil"/>
            </w:tcBorders>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w:t>
            </w:r>
          </w:p>
        </w:tc>
      </w:tr>
      <w:tr w:rsidR="00542E00" w:rsidRPr="00AE0D77" w:rsidTr="00FC4D38">
        <w:trPr>
          <w:cantSplit/>
          <w:trHeight w:val="141"/>
        </w:trPr>
        <w:tc>
          <w:tcPr>
            <w:tcW w:w="1316" w:type="dxa"/>
            <w:tcBorders>
              <w:top w:val="nil"/>
              <w:left w:val="nil"/>
              <w:bottom w:val="nil"/>
              <w:right w:val="single" w:sz="6" w:space="0" w:color="auto"/>
            </w:tcBorders>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2013</w:t>
            </w:r>
            <w:r w:rsidRPr="00AE0D77">
              <w:rPr>
                <w:rFonts w:eastAsia="標楷體"/>
                <w:sz w:val="22"/>
              </w:rPr>
              <w:t>年</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2.9</w:t>
            </w: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-0.1</w:t>
            </w:r>
          </w:p>
        </w:tc>
        <w:tc>
          <w:tcPr>
            <w:tcW w:w="856"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5,596.3</w:t>
            </w:r>
          </w:p>
        </w:tc>
        <w:tc>
          <w:tcPr>
            <w:tcW w:w="964"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2.1</w:t>
            </w:r>
          </w:p>
        </w:tc>
        <w:tc>
          <w:tcPr>
            <w:tcW w:w="90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5,155.9</w:t>
            </w:r>
          </w:p>
        </w:tc>
        <w:tc>
          <w:tcPr>
            <w:tcW w:w="870"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-0.8</w:t>
            </w:r>
          </w:p>
        </w:tc>
        <w:tc>
          <w:tcPr>
            <w:tcW w:w="818"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440.9</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3.1</w:t>
            </w:r>
          </w:p>
        </w:tc>
      </w:tr>
      <w:tr w:rsidR="00542E00" w:rsidRPr="00AE0D77" w:rsidTr="00FC4D38">
        <w:trPr>
          <w:cantSplit/>
          <w:trHeight w:val="141"/>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2014</w:t>
            </w:r>
            <w:r w:rsidRPr="00AE0D77">
              <w:rPr>
                <w:rFonts w:eastAsia="標楷體"/>
                <w:sz w:val="22"/>
              </w:rPr>
              <w:t>年</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w:t>
            </w: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0.9</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5,726.6</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2.3</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5,255.1</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471.5</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3.5</w:t>
            </w:r>
          </w:p>
        </w:tc>
      </w:tr>
      <w:tr w:rsidR="00542E00" w:rsidRPr="00AE0D77" w:rsidTr="00FC4D38">
        <w:trPr>
          <w:cantSplit/>
          <w:trHeight w:val="141"/>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2015</w:t>
            </w:r>
            <w:r w:rsidRPr="00AE0D77">
              <w:rPr>
                <w:rFonts w:eastAsia="標楷體"/>
                <w:sz w:val="22"/>
              </w:rPr>
              <w:t>年</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2.8</w:t>
            </w: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-0.6</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5,267.6</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-8.0</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4,365.0</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-16.9</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904.0</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0.7</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w:t>
            </w:r>
          </w:p>
        </w:tc>
      </w:tr>
      <w:tr w:rsidR="00542E00" w:rsidRPr="00AE0D77" w:rsidTr="00FC4D38">
        <w:trPr>
          <w:cantSplit/>
          <w:trHeight w:val="141"/>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2016</w:t>
            </w:r>
            <w:r w:rsidRPr="00AE0D77">
              <w:rPr>
                <w:rFonts w:eastAsia="標楷體"/>
                <w:sz w:val="22"/>
              </w:rPr>
              <w:t>年</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highlight w:val="yellow"/>
              </w:rPr>
            </w:pPr>
            <w:r w:rsidRPr="00AE0D77">
              <w:rPr>
                <w:rFonts w:eastAsia="標楷體"/>
                <w:sz w:val="22"/>
              </w:rPr>
              <w:t>2.8</w:t>
            </w: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4,955.6</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-5.9</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4,056.4</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-7.1</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899.2</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-2.5</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410.8</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-11.1</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323.8</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-14.5</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87.0</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4.7</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397.4</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-6.1</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330.0</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-8.4</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67.4</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0.8</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3.4(II)</w:t>
            </w: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0.9</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452.9</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-2.9</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338.4</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-7.5</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113.7</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0.7</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1.6</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408.9</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-10.5</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333.7</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-13.7</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75.2</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2.3</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401.3</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2.6</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350.2</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0.7</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51.1</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0.5</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3.8</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9</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2.6(III)</w:t>
            </w: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408.6</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-5.9</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339.5</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-1.7</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69.1</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419.7</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350.0</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-4.8</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69.7</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1.5</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5.4</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454.1</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2.5</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372.1</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9.3</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82.0</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1.5</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bCs/>
                <w:sz w:val="22"/>
              </w:rPr>
              <w:t>2.4(IV)</w:t>
            </w: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4.3</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450.7</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6.4</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380.7</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7.3</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70.0</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3.4</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2017</w:t>
            </w:r>
            <w:r w:rsidRPr="00AE0D77">
              <w:rPr>
                <w:rFonts w:eastAsia="標楷體"/>
                <w:sz w:val="22"/>
              </w:rPr>
              <w:t>年</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bCs/>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3.7(I)</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2,281.0</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16.4</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1,933.0</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21.4</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349.0</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3.8</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403.0</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11.2</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375.0</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19.7</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28.0</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6.7</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432.0</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20.2</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360.0</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23.3</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72.0</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2.9(I)</w:t>
            </w: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489.0</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13.7</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423.0</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26.9</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66.0</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2.2</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w:t>
            </w:r>
          </w:p>
        </w:tc>
      </w:tr>
      <w:tr w:rsidR="00542E00" w:rsidRPr="00AE0D77" w:rsidTr="00FC4D38">
        <w:trPr>
          <w:cantSplit/>
          <w:trHeight w:val="215"/>
        </w:trPr>
        <w:tc>
          <w:tcPr>
            <w:tcW w:w="1316" w:type="dxa"/>
            <w:tcBorders>
              <w:top w:val="nil"/>
              <w:left w:val="nil"/>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w:t>
            </w:r>
            <w:r w:rsidRPr="00AE0D77">
              <w:rPr>
                <w:rFonts w:eastAsia="標楷體"/>
                <w:sz w:val="22"/>
              </w:rPr>
              <w:t>月</w:t>
            </w:r>
          </w:p>
        </w:tc>
        <w:tc>
          <w:tcPr>
            <w:tcW w:w="749" w:type="dxa"/>
            <w:tcBorders>
              <w:top w:val="nil"/>
              <w:left w:val="single" w:sz="6" w:space="0" w:color="auto"/>
              <w:bottom w:val="nil"/>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1.7</w:t>
            </w:r>
          </w:p>
        </w:tc>
        <w:tc>
          <w:tcPr>
            <w:tcW w:w="856"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510.0</w:t>
            </w:r>
          </w:p>
        </w:tc>
        <w:tc>
          <w:tcPr>
            <w:tcW w:w="964"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24.2</w:t>
            </w:r>
          </w:p>
        </w:tc>
        <w:tc>
          <w:tcPr>
            <w:tcW w:w="909"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378.0</w:t>
            </w:r>
          </w:p>
        </w:tc>
        <w:tc>
          <w:tcPr>
            <w:tcW w:w="870"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16.6</w:t>
            </w:r>
          </w:p>
        </w:tc>
        <w:tc>
          <w:tcPr>
            <w:tcW w:w="818" w:type="dxa"/>
            <w:tcBorders>
              <w:top w:val="nil"/>
              <w:left w:val="single" w:sz="6" w:space="0" w:color="auto"/>
              <w:bottom w:val="nil"/>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133.0</w:t>
            </w:r>
          </w:p>
        </w:tc>
        <w:tc>
          <w:tcPr>
            <w:tcW w:w="823" w:type="dxa"/>
            <w:tcBorders>
              <w:top w:val="nil"/>
              <w:left w:val="single" w:sz="6" w:space="0" w:color="auto"/>
              <w:bottom w:val="nil"/>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w:t>
            </w:r>
          </w:p>
        </w:tc>
        <w:tc>
          <w:tcPr>
            <w:tcW w:w="720" w:type="dxa"/>
            <w:tcBorders>
              <w:top w:val="nil"/>
              <w:left w:val="single" w:sz="6" w:space="0" w:color="auto"/>
              <w:bottom w:val="nil"/>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w:t>
            </w:r>
          </w:p>
        </w:tc>
      </w:tr>
      <w:tr w:rsidR="00542E00" w:rsidRPr="00AE0D77" w:rsidTr="00FC4D38">
        <w:trPr>
          <w:cantSplit/>
          <w:trHeight w:val="215"/>
        </w:trPr>
        <w:tc>
          <w:tcPr>
            <w:tcW w:w="1316" w:type="dxa"/>
            <w:tcBorders>
              <w:top w:val="nil"/>
              <w:left w:val="nil"/>
              <w:bottom w:val="single" w:sz="6" w:space="0" w:color="auto"/>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w:t>
            </w:r>
            <w:r w:rsidRPr="00AE0D77">
              <w:rPr>
                <w:rFonts w:eastAsia="標楷體"/>
                <w:sz w:val="22"/>
              </w:rPr>
              <w:t>月</w:t>
            </w:r>
          </w:p>
        </w:tc>
        <w:tc>
          <w:tcPr>
            <w:tcW w:w="749" w:type="dxa"/>
            <w:tcBorders>
              <w:top w:val="nil"/>
              <w:left w:val="single" w:sz="6" w:space="0" w:color="auto"/>
              <w:bottom w:val="single" w:sz="6" w:space="0" w:color="auto"/>
              <w:right w:val="single" w:sz="6" w:space="0" w:color="auto"/>
            </w:tcBorders>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w:t>
            </w:r>
          </w:p>
        </w:tc>
        <w:tc>
          <w:tcPr>
            <w:tcW w:w="856" w:type="dxa"/>
            <w:tcBorders>
              <w:top w:val="nil"/>
              <w:left w:val="single" w:sz="6" w:space="0" w:color="auto"/>
              <w:bottom w:val="single" w:sz="6" w:space="0" w:color="auto"/>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450.0</w:t>
            </w:r>
          </w:p>
        </w:tc>
        <w:tc>
          <w:tcPr>
            <w:tcW w:w="964" w:type="dxa"/>
            <w:tcBorders>
              <w:top w:val="nil"/>
              <w:left w:val="single" w:sz="6" w:space="0" w:color="auto"/>
              <w:bottom w:val="single" w:sz="6" w:space="0" w:color="auto"/>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13.4</w:t>
            </w:r>
          </w:p>
        </w:tc>
        <w:tc>
          <w:tcPr>
            <w:tcW w:w="909" w:type="dxa"/>
            <w:tcBorders>
              <w:top w:val="nil"/>
              <w:left w:val="single" w:sz="6" w:space="0" w:color="auto"/>
              <w:bottom w:val="single" w:sz="6" w:space="0" w:color="auto"/>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390.0</w:t>
            </w:r>
          </w:p>
        </w:tc>
        <w:tc>
          <w:tcPr>
            <w:tcW w:w="870" w:type="dxa"/>
            <w:tcBorders>
              <w:top w:val="nil"/>
              <w:left w:val="single" w:sz="6" w:space="0" w:color="auto"/>
              <w:bottom w:val="single" w:sz="6" w:space="0" w:color="auto"/>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18.2</w:t>
            </w:r>
          </w:p>
        </w:tc>
        <w:tc>
          <w:tcPr>
            <w:tcW w:w="818" w:type="dxa"/>
            <w:tcBorders>
              <w:top w:val="nil"/>
              <w:left w:val="single" w:sz="6" w:space="0" w:color="auto"/>
              <w:bottom w:val="single" w:sz="6" w:space="0" w:color="auto"/>
              <w:right w:val="single" w:sz="6" w:space="0" w:color="auto"/>
            </w:tcBorders>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60.0</w:t>
            </w:r>
          </w:p>
        </w:tc>
        <w:tc>
          <w:tcPr>
            <w:tcW w:w="823" w:type="dxa"/>
            <w:tcBorders>
              <w:top w:val="nil"/>
              <w:left w:val="single" w:sz="6" w:space="0" w:color="auto"/>
              <w:bottom w:val="single" w:sz="6" w:space="0" w:color="auto"/>
              <w:right w:val="single" w:sz="6" w:space="0" w:color="auto"/>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w:t>
            </w:r>
          </w:p>
        </w:tc>
        <w:tc>
          <w:tcPr>
            <w:tcW w:w="720" w:type="dxa"/>
            <w:tcBorders>
              <w:top w:val="nil"/>
              <w:left w:val="single" w:sz="6" w:space="0" w:color="auto"/>
              <w:bottom w:val="single" w:sz="6" w:space="0" w:color="auto"/>
              <w:right w:val="nil"/>
            </w:tcBorders>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w:t>
            </w:r>
          </w:p>
        </w:tc>
      </w:tr>
    </w:tbl>
    <w:p w:rsidR="00EA5BC2" w:rsidRPr="00AE0D77" w:rsidRDefault="009E2424" w:rsidP="009E2424">
      <w:pPr>
        <w:snapToGrid w:val="0"/>
        <w:ind w:right="440"/>
        <w:jc w:val="right"/>
        <w:rPr>
          <w:rFonts w:eastAsia="標楷體"/>
          <w:b/>
          <w:bCs/>
          <w:sz w:val="28"/>
          <w:szCs w:val="32"/>
          <w:lang w:val="zh-TW"/>
        </w:rPr>
      </w:pPr>
      <w:r w:rsidRPr="00AE0D77">
        <w:rPr>
          <w:rFonts w:eastAsia="標楷體"/>
          <w:kern w:val="0"/>
          <w:sz w:val="22"/>
          <w:szCs w:val="22"/>
        </w:rPr>
        <w:t>資料來源：韓國產業通商資源部、韓國企劃財政部、韓國銀行、韓國國家統計局。</w:t>
      </w:r>
      <w:r w:rsidR="00812880" w:rsidRPr="00AE0D77">
        <w:rPr>
          <w:rFonts w:eastAsia="標楷體"/>
          <w:b/>
          <w:bCs/>
          <w:sz w:val="28"/>
          <w:szCs w:val="32"/>
          <w:lang w:val="zh-TW"/>
        </w:rPr>
        <w:br w:type="page"/>
      </w:r>
    </w:p>
    <w:p w:rsidR="00B77830" w:rsidRPr="00AE0D77" w:rsidRDefault="00B77830" w:rsidP="00B77830">
      <w:pPr>
        <w:pStyle w:val="k3a"/>
        <w:numPr>
          <w:ilvl w:val="3"/>
          <w:numId w:val="0"/>
        </w:numPr>
        <w:tabs>
          <w:tab w:val="left" w:pos="709"/>
        </w:tabs>
        <w:spacing w:before="180" w:line="300" w:lineRule="auto"/>
        <w:rPr>
          <w:b/>
          <w:bCs/>
          <w:szCs w:val="28"/>
        </w:rPr>
      </w:pPr>
      <w:r w:rsidRPr="00AE0D77">
        <w:rPr>
          <w:b/>
          <w:bCs/>
          <w:szCs w:val="28"/>
        </w:rPr>
        <w:t>３、新加坡</w:t>
      </w:r>
    </w:p>
    <w:p w:rsidR="00542E00" w:rsidRPr="00AE0D77" w:rsidRDefault="00542E00" w:rsidP="00542E00">
      <w:pPr>
        <w:numPr>
          <w:ilvl w:val="0"/>
          <w:numId w:val="9"/>
        </w:numPr>
        <w:snapToGrid w:val="0"/>
        <w:spacing w:beforeLines="50" w:before="180" w:line="300" w:lineRule="auto"/>
        <w:jc w:val="both"/>
        <w:rPr>
          <w:rFonts w:eastAsia="標楷體"/>
          <w:kern w:val="0"/>
          <w:sz w:val="28"/>
          <w:szCs w:val="28"/>
        </w:rPr>
      </w:pPr>
      <w:r w:rsidRPr="00AE0D77">
        <w:rPr>
          <w:rFonts w:eastAsia="標楷體"/>
          <w:kern w:val="0"/>
          <w:sz w:val="28"/>
          <w:szCs w:val="28"/>
        </w:rPr>
        <w:t>依據環球透視</w:t>
      </w:r>
      <w:r w:rsidRPr="00AE0D77">
        <w:rPr>
          <w:rFonts w:eastAsia="標楷體"/>
          <w:kern w:val="0"/>
          <w:sz w:val="28"/>
          <w:szCs w:val="28"/>
        </w:rPr>
        <w:t>(Global Insight)</w:t>
      </w:r>
      <w:r w:rsidRPr="00AE0D77">
        <w:rPr>
          <w:rFonts w:eastAsia="標楷體"/>
          <w:kern w:val="0"/>
          <w:sz w:val="28"/>
          <w:szCs w:val="28"/>
        </w:rPr>
        <w:t>今年</w:t>
      </w:r>
      <w:r w:rsidRPr="00AE0D77">
        <w:rPr>
          <w:rFonts w:eastAsia="標楷體"/>
          <w:kern w:val="0"/>
          <w:sz w:val="28"/>
          <w:szCs w:val="28"/>
        </w:rPr>
        <w:t>6</w:t>
      </w:r>
      <w:r w:rsidRPr="00AE0D77">
        <w:rPr>
          <w:rFonts w:eastAsia="標楷體"/>
          <w:kern w:val="0"/>
          <w:sz w:val="28"/>
          <w:szCs w:val="28"/>
        </w:rPr>
        <w:t>月預測資料，新加坡今年及明年經濟成長率分別為</w:t>
      </w:r>
      <w:r w:rsidRPr="00AE0D77">
        <w:rPr>
          <w:rFonts w:eastAsia="標楷體"/>
          <w:kern w:val="0"/>
          <w:sz w:val="28"/>
          <w:szCs w:val="28"/>
        </w:rPr>
        <w:t>2.5%</w:t>
      </w:r>
      <w:r w:rsidRPr="00AE0D77">
        <w:rPr>
          <w:rFonts w:eastAsia="標楷體"/>
          <w:kern w:val="0"/>
          <w:sz w:val="28"/>
          <w:szCs w:val="28"/>
        </w:rPr>
        <w:t>及</w:t>
      </w:r>
      <w:r w:rsidRPr="00AE0D77">
        <w:rPr>
          <w:rFonts w:eastAsia="標楷體"/>
          <w:kern w:val="0"/>
          <w:sz w:val="28"/>
          <w:szCs w:val="28"/>
        </w:rPr>
        <w:t>2.4%</w:t>
      </w:r>
      <w:r w:rsidRPr="00AE0D77">
        <w:rPr>
          <w:rFonts w:eastAsia="標楷體"/>
          <w:kern w:val="0"/>
          <w:sz w:val="28"/>
          <w:szCs w:val="28"/>
        </w:rPr>
        <w:t>。</w:t>
      </w:r>
    </w:p>
    <w:p w:rsidR="00542E00" w:rsidRPr="00AE0D77" w:rsidRDefault="00542E00" w:rsidP="00542E00">
      <w:pPr>
        <w:numPr>
          <w:ilvl w:val="0"/>
          <w:numId w:val="9"/>
        </w:numPr>
        <w:snapToGrid w:val="0"/>
        <w:spacing w:beforeLines="50" w:before="180" w:line="300" w:lineRule="auto"/>
        <w:jc w:val="both"/>
        <w:rPr>
          <w:rFonts w:eastAsia="標楷體"/>
          <w:kern w:val="0"/>
          <w:sz w:val="28"/>
          <w:szCs w:val="28"/>
        </w:rPr>
      </w:pPr>
      <w:r w:rsidRPr="00AE0D77">
        <w:rPr>
          <w:rFonts w:eastAsia="標楷體"/>
          <w:kern w:val="0"/>
          <w:sz w:val="28"/>
          <w:szCs w:val="28"/>
        </w:rPr>
        <w:t>新加坡今年</w:t>
      </w:r>
      <w:r w:rsidRPr="00AE0D77">
        <w:rPr>
          <w:rFonts w:eastAsia="標楷體"/>
          <w:kern w:val="0"/>
          <w:sz w:val="28"/>
          <w:szCs w:val="28"/>
        </w:rPr>
        <w:t>5</w:t>
      </w:r>
      <w:r w:rsidRPr="00AE0D77">
        <w:rPr>
          <w:rFonts w:eastAsia="標楷體"/>
          <w:kern w:val="0"/>
          <w:sz w:val="28"/>
          <w:szCs w:val="28"/>
        </w:rPr>
        <w:t>月出口金額</w:t>
      </w:r>
      <w:r w:rsidRPr="00AE0D77">
        <w:rPr>
          <w:rFonts w:eastAsia="標楷體"/>
          <w:kern w:val="0"/>
          <w:sz w:val="28"/>
          <w:szCs w:val="28"/>
        </w:rPr>
        <w:t>433.6</w:t>
      </w:r>
      <w:r w:rsidRPr="00AE0D77">
        <w:rPr>
          <w:rFonts w:eastAsia="標楷體"/>
          <w:kern w:val="0"/>
          <w:sz w:val="28"/>
          <w:szCs w:val="28"/>
        </w:rPr>
        <w:t>億星元，較上年同月增加</w:t>
      </w:r>
      <w:r w:rsidRPr="00AE0D77">
        <w:rPr>
          <w:rFonts w:eastAsia="標楷體"/>
          <w:kern w:val="0"/>
          <w:sz w:val="28"/>
          <w:szCs w:val="28"/>
        </w:rPr>
        <w:t>11.4%</w:t>
      </w:r>
      <w:r w:rsidRPr="00AE0D77">
        <w:rPr>
          <w:rFonts w:eastAsia="標楷體"/>
          <w:kern w:val="0"/>
          <w:sz w:val="28"/>
          <w:szCs w:val="28"/>
        </w:rPr>
        <w:t>，進口</w:t>
      </w:r>
      <w:r w:rsidRPr="00AE0D77">
        <w:rPr>
          <w:rFonts w:eastAsia="標楷體"/>
          <w:kern w:val="0"/>
          <w:sz w:val="28"/>
          <w:szCs w:val="28"/>
        </w:rPr>
        <w:t>387.3</w:t>
      </w:r>
      <w:r w:rsidRPr="00AE0D77">
        <w:rPr>
          <w:rFonts w:eastAsia="標楷體"/>
          <w:kern w:val="0"/>
          <w:sz w:val="28"/>
          <w:szCs w:val="28"/>
        </w:rPr>
        <w:t>億星元，增加</w:t>
      </w:r>
      <w:r w:rsidRPr="00AE0D77">
        <w:rPr>
          <w:rFonts w:eastAsia="標楷體"/>
          <w:kern w:val="0"/>
          <w:sz w:val="28"/>
          <w:szCs w:val="28"/>
        </w:rPr>
        <w:t>17.6%</w:t>
      </w:r>
      <w:r w:rsidRPr="00AE0D77">
        <w:rPr>
          <w:rFonts w:eastAsia="標楷體"/>
          <w:kern w:val="0"/>
          <w:sz w:val="28"/>
          <w:szCs w:val="28"/>
        </w:rPr>
        <w:t>，貿易出超為</w:t>
      </w:r>
      <w:r w:rsidRPr="00AE0D77">
        <w:rPr>
          <w:rFonts w:eastAsia="標楷體"/>
          <w:kern w:val="0"/>
          <w:sz w:val="28"/>
          <w:szCs w:val="28"/>
        </w:rPr>
        <w:t>46.3</w:t>
      </w:r>
      <w:r w:rsidRPr="00AE0D77">
        <w:rPr>
          <w:rFonts w:eastAsia="標楷體"/>
          <w:kern w:val="0"/>
          <w:sz w:val="28"/>
          <w:szCs w:val="28"/>
        </w:rPr>
        <w:t>億星元。國內石油產品出口成長</w:t>
      </w:r>
      <w:r w:rsidRPr="00AE0D77">
        <w:rPr>
          <w:rFonts w:eastAsia="標楷體"/>
          <w:kern w:val="0"/>
          <w:sz w:val="28"/>
          <w:szCs w:val="28"/>
        </w:rPr>
        <w:t>39.3%</w:t>
      </w:r>
      <w:r w:rsidRPr="00AE0D77">
        <w:rPr>
          <w:rFonts w:eastAsia="標楷體"/>
          <w:kern w:val="0"/>
          <w:sz w:val="28"/>
          <w:szCs w:val="28"/>
        </w:rPr>
        <w:t>；國內非石油產品出口衰退</w:t>
      </w:r>
      <w:r w:rsidRPr="00AE0D77">
        <w:rPr>
          <w:rFonts w:eastAsia="標楷體"/>
          <w:kern w:val="0"/>
          <w:sz w:val="28"/>
          <w:szCs w:val="28"/>
        </w:rPr>
        <w:t>1.2%</w:t>
      </w:r>
      <w:r w:rsidRPr="00AE0D77">
        <w:rPr>
          <w:rFonts w:eastAsia="標楷體"/>
          <w:kern w:val="0"/>
          <w:sz w:val="28"/>
          <w:szCs w:val="28"/>
        </w:rPr>
        <w:t>，其中電子產品成長</w:t>
      </w:r>
      <w:r w:rsidRPr="00AE0D77">
        <w:rPr>
          <w:rFonts w:eastAsia="標楷體"/>
          <w:kern w:val="0"/>
          <w:sz w:val="28"/>
          <w:szCs w:val="28"/>
        </w:rPr>
        <w:t>23.3%</w:t>
      </w:r>
      <w:r w:rsidRPr="00AE0D77">
        <w:rPr>
          <w:rFonts w:eastAsia="標楷體"/>
          <w:kern w:val="0"/>
          <w:sz w:val="28"/>
          <w:szCs w:val="28"/>
        </w:rPr>
        <w:t>，非電子產品則衰退</w:t>
      </w:r>
      <w:r w:rsidRPr="00AE0D77">
        <w:rPr>
          <w:rFonts w:eastAsia="標楷體"/>
          <w:kern w:val="0"/>
          <w:sz w:val="28"/>
          <w:szCs w:val="28"/>
        </w:rPr>
        <w:t>9%</w:t>
      </w:r>
      <w:r w:rsidRPr="00AE0D77">
        <w:rPr>
          <w:rFonts w:eastAsia="標楷體"/>
          <w:kern w:val="0"/>
          <w:sz w:val="28"/>
          <w:szCs w:val="28"/>
        </w:rPr>
        <w:t>。非石油產品十大出口國中，南韓</w:t>
      </w:r>
      <w:r w:rsidRPr="00AE0D77">
        <w:rPr>
          <w:rFonts w:eastAsia="標楷體"/>
          <w:kern w:val="0"/>
          <w:sz w:val="28"/>
          <w:szCs w:val="28"/>
        </w:rPr>
        <w:t>(64.3%)</w:t>
      </w:r>
      <w:r w:rsidRPr="00AE0D77">
        <w:rPr>
          <w:rFonts w:eastAsia="標楷體"/>
          <w:kern w:val="0"/>
          <w:sz w:val="28"/>
          <w:szCs w:val="28"/>
        </w:rPr>
        <w:t>、中國大陸</w:t>
      </w:r>
      <w:r w:rsidRPr="00AE0D77">
        <w:rPr>
          <w:rFonts w:eastAsia="標楷體"/>
          <w:kern w:val="0"/>
          <w:sz w:val="28"/>
          <w:szCs w:val="28"/>
        </w:rPr>
        <w:t>(36.4%)</w:t>
      </w:r>
      <w:r w:rsidRPr="00AE0D77">
        <w:rPr>
          <w:rFonts w:eastAsia="標楷體"/>
          <w:kern w:val="0"/>
          <w:sz w:val="28"/>
          <w:szCs w:val="28"/>
        </w:rPr>
        <w:t>、日本</w:t>
      </w:r>
      <w:r w:rsidRPr="00AE0D77">
        <w:rPr>
          <w:rFonts w:eastAsia="標楷體"/>
          <w:kern w:val="0"/>
          <w:sz w:val="28"/>
          <w:szCs w:val="28"/>
        </w:rPr>
        <w:t>(22.8%)</w:t>
      </w:r>
      <w:r w:rsidRPr="00AE0D77">
        <w:rPr>
          <w:rFonts w:eastAsia="標楷體"/>
          <w:kern w:val="0"/>
          <w:sz w:val="28"/>
          <w:szCs w:val="28"/>
        </w:rPr>
        <w:t>及臺灣</w:t>
      </w:r>
      <w:r w:rsidRPr="00AE0D77">
        <w:rPr>
          <w:rFonts w:eastAsia="標楷體"/>
          <w:kern w:val="0"/>
          <w:sz w:val="28"/>
          <w:szCs w:val="28"/>
        </w:rPr>
        <w:t>(14.7%)</w:t>
      </w:r>
      <w:r w:rsidRPr="00AE0D77">
        <w:rPr>
          <w:rFonts w:eastAsia="標楷體"/>
          <w:kern w:val="0"/>
          <w:sz w:val="28"/>
          <w:szCs w:val="28"/>
        </w:rPr>
        <w:t>成長較明顯，香港</w:t>
      </w:r>
      <w:r w:rsidRPr="00AE0D77">
        <w:rPr>
          <w:rFonts w:eastAsia="標楷體"/>
          <w:kern w:val="0"/>
          <w:sz w:val="28"/>
          <w:szCs w:val="28"/>
        </w:rPr>
        <w:t>(-2%)</w:t>
      </w:r>
      <w:r w:rsidRPr="00AE0D77">
        <w:rPr>
          <w:rFonts w:eastAsia="標楷體"/>
          <w:kern w:val="0"/>
          <w:sz w:val="28"/>
          <w:szCs w:val="28"/>
        </w:rPr>
        <w:t>則衰退。</w:t>
      </w:r>
    </w:p>
    <w:p w:rsidR="00542E00" w:rsidRPr="00AE0D77" w:rsidRDefault="00542E00" w:rsidP="00542E00">
      <w:pPr>
        <w:numPr>
          <w:ilvl w:val="0"/>
          <w:numId w:val="9"/>
        </w:numPr>
        <w:snapToGrid w:val="0"/>
        <w:spacing w:beforeLines="50" w:before="180" w:line="300" w:lineRule="auto"/>
        <w:ind w:left="425" w:hanging="425"/>
        <w:jc w:val="both"/>
        <w:rPr>
          <w:rFonts w:eastAsia="標楷體"/>
          <w:kern w:val="0"/>
          <w:sz w:val="28"/>
          <w:szCs w:val="28"/>
        </w:rPr>
      </w:pPr>
      <w:r w:rsidRPr="00AE0D77">
        <w:rPr>
          <w:rFonts w:eastAsia="標楷體"/>
          <w:kern w:val="0"/>
          <w:sz w:val="28"/>
          <w:szCs w:val="28"/>
        </w:rPr>
        <w:t>新加坡今年</w:t>
      </w:r>
      <w:r w:rsidRPr="00AE0D77">
        <w:rPr>
          <w:rFonts w:eastAsia="標楷體"/>
          <w:kern w:val="0"/>
          <w:sz w:val="28"/>
          <w:szCs w:val="28"/>
        </w:rPr>
        <w:t>4</w:t>
      </w:r>
      <w:r w:rsidRPr="00AE0D77">
        <w:rPr>
          <w:rFonts w:eastAsia="標楷體"/>
          <w:kern w:val="0"/>
          <w:sz w:val="28"/>
          <w:szCs w:val="28"/>
        </w:rPr>
        <w:t>月工業生產成長</w:t>
      </w:r>
      <w:r w:rsidRPr="00AE0D77">
        <w:rPr>
          <w:rFonts w:eastAsia="標楷體"/>
          <w:kern w:val="0"/>
          <w:sz w:val="28"/>
          <w:szCs w:val="28"/>
        </w:rPr>
        <w:t>6.7%</w:t>
      </w:r>
      <w:r w:rsidRPr="00AE0D77">
        <w:rPr>
          <w:rFonts w:eastAsia="標楷體"/>
          <w:kern w:val="0"/>
          <w:sz w:val="28"/>
          <w:szCs w:val="28"/>
        </w:rPr>
        <w:t>，其中電子業</w:t>
      </w:r>
      <w:r w:rsidRPr="00AE0D77">
        <w:rPr>
          <w:rFonts w:eastAsia="標楷體"/>
          <w:kern w:val="0"/>
          <w:sz w:val="28"/>
          <w:szCs w:val="28"/>
        </w:rPr>
        <w:t>(48%)</w:t>
      </w:r>
      <w:r w:rsidRPr="00AE0D77">
        <w:rPr>
          <w:rFonts w:eastAsia="標楷體"/>
          <w:kern w:val="0"/>
          <w:sz w:val="28"/>
          <w:szCs w:val="28"/>
        </w:rPr>
        <w:t>及精密工程業</w:t>
      </w:r>
      <w:r w:rsidRPr="00AE0D77">
        <w:rPr>
          <w:rFonts w:eastAsia="標楷體"/>
          <w:kern w:val="0"/>
          <w:sz w:val="28"/>
          <w:szCs w:val="28"/>
        </w:rPr>
        <w:t>(15.7%)</w:t>
      </w:r>
      <w:r w:rsidRPr="00AE0D77">
        <w:rPr>
          <w:rFonts w:eastAsia="標楷體"/>
          <w:kern w:val="0"/>
          <w:sz w:val="28"/>
          <w:szCs w:val="28"/>
        </w:rPr>
        <w:t>皆上升，生醫製造業</w:t>
      </w:r>
      <w:r w:rsidRPr="00AE0D77">
        <w:rPr>
          <w:rFonts w:eastAsia="標楷體"/>
          <w:kern w:val="0"/>
          <w:sz w:val="28"/>
          <w:szCs w:val="28"/>
        </w:rPr>
        <w:t>(-23.3%)</w:t>
      </w:r>
      <w:r w:rsidRPr="00AE0D77">
        <w:rPr>
          <w:rFonts w:eastAsia="標楷體"/>
          <w:kern w:val="0"/>
          <w:sz w:val="28"/>
          <w:szCs w:val="28"/>
        </w:rPr>
        <w:t>、運輸工程業</w:t>
      </w:r>
      <w:r w:rsidRPr="00AE0D77">
        <w:rPr>
          <w:rFonts w:eastAsia="標楷體"/>
          <w:kern w:val="0"/>
          <w:sz w:val="28"/>
          <w:szCs w:val="28"/>
        </w:rPr>
        <w:t>(-14.5%)</w:t>
      </w:r>
      <w:r w:rsidRPr="00AE0D77">
        <w:rPr>
          <w:rFonts w:eastAsia="標楷體"/>
          <w:kern w:val="0"/>
          <w:sz w:val="28"/>
          <w:szCs w:val="28"/>
        </w:rPr>
        <w:t>、一般製造業</w:t>
      </w:r>
      <w:r w:rsidRPr="00AE0D77">
        <w:rPr>
          <w:rFonts w:eastAsia="標楷體"/>
          <w:kern w:val="0"/>
          <w:sz w:val="28"/>
          <w:szCs w:val="28"/>
        </w:rPr>
        <w:t>(-11%)</w:t>
      </w:r>
      <w:r w:rsidRPr="00AE0D77">
        <w:rPr>
          <w:rFonts w:eastAsia="標楷體"/>
          <w:kern w:val="0"/>
          <w:sz w:val="28"/>
          <w:szCs w:val="28"/>
        </w:rPr>
        <w:t>及化學業</w:t>
      </w:r>
      <w:r w:rsidRPr="00AE0D77">
        <w:rPr>
          <w:rFonts w:eastAsia="標楷體"/>
          <w:kern w:val="0"/>
          <w:sz w:val="28"/>
          <w:szCs w:val="28"/>
        </w:rPr>
        <w:t>(-1.8%)</w:t>
      </w:r>
      <w:r w:rsidRPr="00AE0D77">
        <w:rPr>
          <w:rFonts w:eastAsia="標楷體"/>
          <w:kern w:val="0"/>
          <w:sz w:val="28"/>
          <w:szCs w:val="28"/>
        </w:rPr>
        <w:t>則衰退。依據新加坡採購與材料管理學院</w:t>
      </w:r>
      <w:r w:rsidRPr="00AE0D77">
        <w:rPr>
          <w:rFonts w:eastAsia="標楷體"/>
          <w:kern w:val="0"/>
          <w:sz w:val="28"/>
          <w:szCs w:val="28"/>
        </w:rPr>
        <w:t>(SIPMM)</w:t>
      </w:r>
      <w:r w:rsidRPr="00AE0D77">
        <w:rPr>
          <w:rFonts w:eastAsia="標楷體"/>
          <w:kern w:val="0"/>
          <w:sz w:val="28"/>
          <w:szCs w:val="28"/>
        </w:rPr>
        <w:t>資料顯示，今年</w:t>
      </w:r>
      <w:r w:rsidRPr="00AE0D77">
        <w:rPr>
          <w:rFonts w:eastAsia="標楷體"/>
          <w:kern w:val="0"/>
          <w:sz w:val="28"/>
          <w:szCs w:val="28"/>
        </w:rPr>
        <w:t>5</w:t>
      </w:r>
      <w:r w:rsidRPr="00AE0D77">
        <w:rPr>
          <w:rFonts w:eastAsia="標楷體"/>
          <w:kern w:val="0"/>
          <w:sz w:val="28"/>
          <w:szCs w:val="28"/>
        </w:rPr>
        <w:t>月採購經理人指數</w:t>
      </w:r>
      <w:r w:rsidRPr="00AE0D77">
        <w:rPr>
          <w:rFonts w:eastAsia="標楷體"/>
          <w:kern w:val="0"/>
          <w:sz w:val="28"/>
          <w:szCs w:val="28"/>
        </w:rPr>
        <w:t>(PMI)50.8</w:t>
      </w:r>
      <w:r w:rsidRPr="00AE0D77">
        <w:rPr>
          <w:rFonts w:eastAsia="標楷體"/>
          <w:kern w:val="0"/>
          <w:sz w:val="28"/>
          <w:szCs w:val="28"/>
        </w:rPr>
        <w:t>，較上月下跌</w:t>
      </w:r>
      <w:r w:rsidRPr="00AE0D77">
        <w:rPr>
          <w:rFonts w:eastAsia="標楷體"/>
          <w:kern w:val="0"/>
          <w:sz w:val="28"/>
          <w:szCs w:val="28"/>
        </w:rPr>
        <w:t>0.3</w:t>
      </w:r>
      <w:r w:rsidRPr="00AE0D77">
        <w:rPr>
          <w:rFonts w:eastAsia="標楷體"/>
          <w:kern w:val="0"/>
          <w:sz w:val="28"/>
          <w:szCs w:val="28"/>
        </w:rPr>
        <w:t>，但已連續</w:t>
      </w:r>
      <w:r w:rsidRPr="00AE0D77">
        <w:rPr>
          <w:rFonts w:eastAsia="標楷體"/>
          <w:kern w:val="0"/>
          <w:sz w:val="28"/>
          <w:szCs w:val="28"/>
        </w:rPr>
        <w:t>9</w:t>
      </w:r>
      <w:r w:rsidRPr="00AE0D77">
        <w:rPr>
          <w:rFonts w:eastAsia="標楷體"/>
          <w:kern w:val="0"/>
          <w:sz w:val="28"/>
          <w:szCs w:val="28"/>
        </w:rPr>
        <w:t>個月處於景氣榮枯線上方，顯示新加坡製造業在全球充滿不確定因素之際仍持續成長。</w:t>
      </w:r>
    </w:p>
    <w:p w:rsidR="00C46E37" w:rsidRPr="00AE0D77" w:rsidRDefault="00542E00" w:rsidP="00542E00">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AE0D77">
        <w:rPr>
          <w:rFonts w:ascii="Times New Roman" w:eastAsia="標楷體" w:hAnsi="Times New Roman"/>
          <w:kern w:val="0"/>
          <w:sz w:val="28"/>
          <w:szCs w:val="28"/>
        </w:rPr>
        <w:t>新加坡金融管理局（</w:t>
      </w:r>
      <w:r w:rsidRPr="00AE0D77">
        <w:rPr>
          <w:rFonts w:ascii="Times New Roman" w:eastAsia="標楷體" w:hAnsi="Times New Roman"/>
          <w:kern w:val="0"/>
          <w:sz w:val="28"/>
          <w:szCs w:val="28"/>
        </w:rPr>
        <w:t>MAS</w:t>
      </w:r>
      <w:r w:rsidRPr="00AE0D77">
        <w:rPr>
          <w:rFonts w:ascii="Times New Roman" w:eastAsia="標楷體" w:hAnsi="Times New Roman"/>
          <w:kern w:val="0"/>
          <w:sz w:val="28"/>
          <w:szCs w:val="28"/>
        </w:rPr>
        <w:t>）與美洲銀行監管人員協會（</w:t>
      </w:r>
      <w:r w:rsidRPr="00AE0D77">
        <w:rPr>
          <w:rFonts w:ascii="Times New Roman" w:eastAsia="標楷體" w:hAnsi="Times New Roman"/>
          <w:kern w:val="0"/>
          <w:sz w:val="28"/>
          <w:szCs w:val="28"/>
        </w:rPr>
        <w:t>ASBA</w:t>
      </w:r>
      <w:r w:rsidRPr="00AE0D77">
        <w:rPr>
          <w:rFonts w:ascii="Times New Roman" w:eastAsia="標楷體" w:hAnsi="Times New Roman"/>
          <w:kern w:val="0"/>
          <w:sz w:val="28"/>
          <w:szCs w:val="28"/>
        </w:rPr>
        <w:t>）今年於</w:t>
      </w:r>
      <w:r w:rsidRPr="00AE0D77">
        <w:rPr>
          <w:rFonts w:ascii="Times New Roman" w:eastAsia="標楷體" w:hAnsi="Times New Roman"/>
          <w:kern w:val="0"/>
          <w:sz w:val="28"/>
          <w:szCs w:val="28"/>
        </w:rPr>
        <w:t>6</w:t>
      </w:r>
      <w:r w:rsidRPr="00AE0D77">
        <w:rPr>
          <w:rFonts w:ascii="Times New Roman" w:eastAsia="標楷體" w:hAnsi="Times New Roman"/>
          <w:kern w:val="0"/>
          <w:sz w:val="28"/>
          <w:szCs w:val="28"/>
        </w:rPr>
        <w:t>月</w:t>
      </w:r>
      <w:r w:rsidRPr="00AE0D77">
        <w:rPr>
          <w:rFonts w:ascii="Times New Roman" w:eastAsia="標楷體" w:hAnsi="Times New Roman"/>
          <w:kern w:val="0"/>
          <w:sz w:val="28"/>
          <w:szCs w:val="28"/>
        </w:rPr>
        <w:t>9</w:t>
      </w:r>
      <w:r w:rsidRPr="00AE0D77">
        <w:rPr>
          <w:rFonts w:ascii="Times New Roman" w:eastAsia="標楷體" w:hAnsi="Times New Roman"/>
          <w:kern w:val="0"/>
          <w:sz w:val="28"/>
          <w:szCs w:val="28"/>
        </w:rPr>
        <w:t>日簽署合作備忘錄，加強聯繫新加坡與美洲國家間的金融科技發展。此備忘錄提供新加坡與該協會會員國相互進行金融科技合作的架構，在此架構下尋求區塊鏈（</w:t>
      </w:r>
      <w:r w:rsidRPr="00AE0D77">
        <w:rPr>
          <w:rFonts w:ascii="Times New Roman" w:eastAsia="標楷體" w:hAnsi="Times New Roman"/>
          <w:kern w:val="0"/>
          <w:sz w:val="28"/>
          <w:szCs w:val="28"/>
        </w:rPr>
        <w:t>block chain</w:t>
      </w:r>
      <w:r w:rsidRPr="00AE0D77">
        <w:rPr>
          <w:rFonts w:ascii="Times New Roman" w:eastAsia="標楷體" w:hAnsi="Times New Roman"/>
          <w:kern w:val="0"/>
          <w:sz w:val="28"/>
          <w:szCs w:val="28"/>
        </w:rPr>
        <w:t>）和大數據等方面共同展開創新合作計畫，並就各項涉及雙方利益的議題進行討論，例如新的金融科技趨勢和其他有關創新金融服務的議題。</w:t>
      </w:r>
    </w:p>
    <w:p w:rsidR="001B1547" w:rsidRPr="00AE0D77" w:rsidRDefault="001B1547" w:rsidP="001B1547">
      <w:pPr>
        <w:widowControl/>
        <w:snapToGrid w:val="0"/>
        <w:spacing w:before="120" w:line="300" w:lineRule="auto"/>
        <w:ind w:rightChars="-59" w:right="-142"/>
        <w:rPr>
          <w:rFonts w:eastAsia="標楷體"/>
          <w:sz w:val="28"/>
          <w:szCs w:val="28"/>
        </w:rPr>
      </w:pPr>
    </w:p>
    <w:p w:rsidR="00C46E37" w:rsidRPr="00AE0D77" w:rsidRDefault="00C46E37" w:rsidP="001B1547">
      <w:pPr>
        <w:widowControl/>
        <w:snapToGrid w:val="0"/>
        <w:spacing w:before="120" w:line="300" w:lineRule="auto"/>
        <w:ind w:rightChars="-59" w:right="-142"/>
        <w:rPr>
          <w:rFonts w:eastAsia="標楷體"/>
          <w:sz w:val="28"/>
          <w:szCs w:val="28"/>
        </w:rPr>
      </w:pPr>
    </w:p>
    <w:p w:rsidR="00390433" w:rsidRPr="00AE0D77" w:rsidRDefault="00390433" w:rsidP="001B1547">
      <w:pPr>
        <w:widowControl/>
        <w:snapToGrid w:val="0"/>
        <w:spacing w:before="120" w:line="300" w:lineRule="auto"/>
        <w:ind w:rightChars="-59" w:right="-142"/>
        <w:rPr>
          <w:rFonts w:eastAsia="標楷體"/>
          <w:sz w:val="28"/>
          <w:szCs w:val="28"/>
        </w:rPr>
      </w:pPr>
    </w:p>
    <w:p w:rsidR="00FA3068" w:rsidRPr="00AE0D77" w:rsidRDefault="00FA3068" w:rsidP="001B1547">
      <w:pPr>
        <w:widowControl/>
        <w:snapToGrid w:val="0"/>
        <w:spacing w:before="120" w:line="300" w:lineRule="auto"/>
        <w:ind w:rightChars="-59" w:right="-142"/>
        <w:rPr>
          <w:rFonts w:eastAsia="標楷體"/>
          <w:sz w:val="28"/>
          <w:szCs w:val="28"/>
        </w:rPr>
      </w:pPr>
    </w:p>
    <w:p w:rsidR="00542E00" w:rsidRPr="00AE0D77" w:rsidRDefault="00542E00">
      <w:pPr>
        <w:widowControl/>
        <w:rPr>
          <w:rFonts w:eastAsia="標楷體"/>
          <w:b/>
          <w:sz w:val="28"/>
          <w:szCs w:val="28"/>
        </w:rPr>
      </w:pPr>
      <w:r w:rsidRPr="00AE0D77">
        <w:rPr>
          <w:rFonts w:eastAsia="標楷體"/>
          <w:b/>
        </w:rPr>
        <w:br w:type="page"/>
      </w:r>
    </w:p>
    <w:p w:rsidR="00323631" w:rsidRPr="00AE0D77" w:rsidRDefault="00323631" w:rsidP="00147FA8">
      <w:pPr>
        <w:pStyle w:val="t-5"/>
        <w:spacing w:before="180"/>
        <w:ind w:leftChars="0" w:left="0" w:firstLineChars="0" w:firstLine="0"/>
        <w:jc w:val="center"/>
        <w:rPr>
          <w:b/>
          <w:color w:val="auto"/>
          <w:sz w:val="22"/>
        </w:rPr>
      </w:pPr>
      <w:r w:rsidRPr="00AE0D77">
        <w:rPr>
          <w:b/>
          <w:color w:val="auto"/>
        </w:rPr>
        <w:t>表</w:t>
      </w:r>
      <w:r w:rsidRPr="00AE0D77">
        <w:rPr>
          <w:b/>
          <w:color w:val="auto"/>
        </w:rPr>
        <w:t xml:space="preserve">1-3-3   </w:t>
      </w:r>
      <w:r w:rsidRPr="00AE0D77">
        <w:rPr>
          <w:b/>
          <w:color w:val="auto"/>
        </w:rPr>
        <w:t>新加坡重要經濟指標</w:t>
      </w:r>
    </w:p>
    <w:p w:rsidR="009E2424" w:rsidRPr="00AE0D77" w:rsidRDefault="00323631" w:rsidP="009E2424">
      <w:pPr>
        <w:wordWrap w:val="0"/>
        <w:snapToGrid w:val="0"/>
        <w:spacing w:before="120"/>
        <w:ind w:rightChars="13" w:right="31"/>
        <w:jc w:val="right"/>
        <w:rPr>
          <w:rFonts w:eastAsia="標楷體"/>
          <w:sz w:val="22"/>
        </w:rPr>
      </w:pPr>
      <w:r w:rsidRPr="00AE0D77">
        <w:rPr>
          <w:rFonts w:eastAsia="標楷體"/>
          <w:sz w:val="22"/>
        </w:rPr>
        <w:t xml:space="preserve">            </w:t>
      </w:r>
      <w:r w:rsidR="009E2424" w:rsidRPr="00AE0D77">
        <w:rPr>
          <w:rFonts w:eastAsia="標楷體"/>
          <w:sz w:val="22"/>
        </w:rPr>
        <w:t>單位：億星元；</w:t>
      </w:r>
      <w:r w:rsidR="009675F7" w:rsidRPr="00AE0D77">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542E00" w:rsidRPr="00AE0D77" w:rsidTr="00FC4D38">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542E00" w:rsidRPr="00AE0D77" w:rsidRDefault="00542E00" w:rsidP="00FC4D3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E0D77">
              <w:rPr>
                <w:rFonts w:eastAsia="標楷體"/>
                <w:sz w:val="22"/>
              </w:rPr>
              <w:t>年</w:t>
            </w:r>
            <w:r w:rsidRPr="00AE0D77">
              <w:rPr>
                <w:rFonts w:eastAsia="標楷體"/>
                <w:sz w:val="22"/>
              </w:rPr>
              <w:t>(</w:t>
            </w:r>
            <w:r w:rsidRPr="00AE0D77">
              <w:rPr>
                <w:rFonts w:eastAsia="標楷體"/>
                <w:sz w:val="22"/>
              </w:rPr>
              <w:t>月</w:t>
            </w:r>
            <w:r w:rsidRPr="00AE0D77">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實質</w:t>
            </w:r>
          </w:p>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工業</w:t>
            </w:r>
          </w:p>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貿</w:t>
            </w:r>
            <w:r w:rsidRPr="00AE0D77">
              <w:rPr>
                <w:rFonts w:eastAsia="標楷體"/>
                <w:sz w:val="22"/>
              </w:rPr>
              <w:t xml:space="preserve">   </w:t>
            </w:r>
            <w:r w:rsidRPr="00AE0D77">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消費者</w:t>
            </w:r>
          </w:p>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失業率</w:t>
            </w:r>
          </w:p>
        </w:tc>
      </w:tr>
      <w:tr w:rsidR="00542E00" w:rsidRPr="00AE0D77" w:rsidTr="00FC4D3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542E00" w:rsidRPr="00AE0D77" w:rsidRDefault="00542E00" w:rsidP="00FC4D38">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42E00" w:rsidRPr="00AE0D77" w:rsidRDefault="00542E00" w:rsidP="00FC4D38">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42E00" w:rsidRPr="00AE0D77" w:rsidRDefault="00542E00" w:rsidP="00FC4D38">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542E00">
            <w:pPr>
              <w:autoSpaceDE w:val="0"/>
              <w:autoSpaceDN w:val="0"/>
              <w:adjustRightInd w:val="0"/>
              <w:snapToGrid w:val="0"/>
              <w:spacing w:beforeLines="30" w:before="108" w:line="380" w:lineRule="exact"/>
              <w:jc w:val="center"/>
              <w:rPr>
                <w:rFonts w:eastAsia="標楷體"/>
                <w:sz w:val="22"/>
              </w:rPr>
            </w:pPr>
            <w:r w:rsidRPr="00AE0D77">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42E00" w:rsidRPr="00AE0D77" w:rsidRDefault="00542E00" w:rsidP="00FC4D38">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542E00" w:rsidRPr="00AE0D77" w:rsidRDefault="00542E00" w:rsidP="00FC4D38">
            <w:pPr>
              <w:widowControl/>
              <w:spacing w:line="380" w:lineRule="exact"/>
              <w:rPr>
                <w:rFonts w:eastAsia="標楷體"/>
                <w:sz w:val="22"/>
              </w:rPr>
            </w:pPr>
          </w:p>
        </w:tc>
      </w:tr>
      <w:tr w:rsidR="00542E00" w:rsidRPr="00AE0D77" w:rsidTr="00FC4D3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542E00" w:rsidRPr="00AE0D77" w:rsidRDefault="00542E00" w:rsidP="00FC4D38">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42E00" w:rsidRPr="00AE0D77" w:rsidRDefault="00542E00" w:rsidP="00FC4D38">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42E00" w:rsidRPr="00AE0D77" w:rsidRDefault="00542E00" w:rsidP="00FC4D38">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42E00" w:rsidRPr="00AE0D77" w:rsidRDefault="00542E00" w:rsidP="00FC4D38">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542E00" w:rsidRPr="00AE0D77" w:rsidRDefault="00542E00" w:rsidP="00FC4D38">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542E00" w:rsidRPr="00AE0D77" w:rsidRDefault="00542E00" w:rsidP="00FC4D38">
            <w:pPr>
              <w:widowControl/>
              <w:spacing w:line="380" w:lineRule="exact"/>
              <w:rPr>
                <w:rFonts w:eastAsia="標楷體"/>
                <w:sz w:val="22"/>
              </w:rPr>
            </w:pPr>
          </w:p>
        </w:tc>
      </w:tr>
      <w:tr w:rsidR="00542E00" w:rsidRPr="00AE0D77" w:rsidTr="00FC4D38">
        <w:trPr>
          <w:cantSplit/>
          <w:jc w:val="center"/>
        </w:trPr>
        <w:tc>
          <w:tcPr>
            <w:tcW w:w="1341" w:type="dxa"/>
            <w:tcBorders>
              <w:top w:val="nil"/>
              <w:left w:val="nil"/>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2011</w:t>
            </w:r>
            <w:r w:rsidRPr="00AE0D77">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5.2</w:t>
            </w:r>
          </w:p>
        </w:tc>
        <w:tc>
          <w:tcPr>
            <w:tcW w:w="853" w:type="dxa"/>
            <w:tcBorders>
              <w:top w:val="nil"/>
              <w:left w:val="single" w:sz="6" w:space="0" w:color="auto"/>
              <w:bottom w:val="nil"/>
              <w:right w:val="nil"/>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w:t>
            </w:r>
          </w:p>
        </w:tc>
      </w:tr>
      <w:tr w:rsidR="00542E00" w:rsidRPr="00AE0D77" w:rsidTr="00FC4D38">
        <w:trPr>
          <w:cantSplit/>
          <w:jc w:val="center"/>
        </w:trPr>
        <w:tc>
          <w:tcPr>
            <w:tcW w:w="1341" w:type="dxa"/>
            <w:tcBorders>
              <w:top w:val="nil"/>
              <w:left w:val="nil"/>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2012</w:t>
            </w:r>
            <w:r w:rsidRPr="00AE0D77">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rPr>
                <w:rFonts w:eastAsia="標楷體"/>
                <w:sz w:val="22"/>
              </w:rPr>
            </w:pPr>
            <w:r w:rsidRPr="00AE0D77">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4.6</w:t>
            </w:r>
          </w:p>
        </w:tc>
        <w:tc>
          <w:tcPr>
            <w:tcW w:w="853" w:type="dxa"/>
            <w:tcBorders>
              <w:top w:val="nil"/>
              <w:left w:val="single" w:sz="6" w:space="0" w:color="auto"/>
              <w:bottom w:val="nil"/>
              <w:right w:val="nil"/>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w:t>
            </w:r>
          </w:p>
        </w:tc>
      </w:tr>
      <w:tr w:rsidR="00542E00" w:rsidRPr="00AE0D77" w:rsidTr="00FC4D38">
        <w:trPr>
          <w:cantSplit/>
          <w:jc w:val="center"/>
        </w:trPr>
        <w:tc>
          <w:tcPr>
            <w:tcW w:w="1341" w:type="dxa"/>
            <w:tcBorders>
              <w:top w:val="nil"/>
              <w:left w:val="nil"/>
              <w:bottom w:val="nil"/>
              <w:right w:val="single" w:sz="6" w:space="0" w:color="auto"/>
            </w:tcBorders>
            <w:shd w:val="clear" w:color="auto" w:fill="auto"/>
            <w:hideMark/>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2013</w:t>
            </w:r>
            <w:r w:rsidRPr="00AE0D7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2.4</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w:t>
            </w: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2014</w:t>
            </w:r>
            <w:r w:rsidRPr="00AE0D7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vertAlign w:val="superscript"/>
              </w:rPr>
            </w:pPr>
            <w:r w:rsidRPr="00AE0D77">
              <w:rPr>
                <w:rFonts w:eastAsia="標楷體"/>
                <w:sz w:val="22"/>
              </w:rPr>
              <w:t>2.0</w:t>
            </w: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vAlign w:val="bottom"/>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2015</w:t>
            </w:r>
            <w:r w:rsidRPr="00AE0D77">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-0.5</w:t>
            </w:r>
          </w:p>
        </w:tc>
        <w:tc>
          <w:tcPr>
            <w:tcW w:w="853" w:type="dxa"/>
            <w:tcBorders>
              <w:top w:val="nil"/>
              <w:left w:val="single" w:sz="6" w:space="0" w:color="auto"/>
              <w:bottom w:val="nil"/>
              <w:right w:val="nil"/>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w:t>
            </w: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2016</w:t>
            </w:r>
            <w:r w:rsidRPr="00AE0D77">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2.0</w:t>
            </w: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4669.1</w:t>
            </w:r>
          </w:p>
        </w:tc>
        <w:tc>
          <w:tcPr>
            <w:tcW w:w="8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-5.1</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4033.0</w:t>
            </w:r>
          </w:p>
        </w:tc>
        <w:tc>
          <w:tcPr>
            <w:tcW w:w="7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-4.7</w:t>
            </w:r>
          </w:p>
        </w:tc>
        <w:tc>
          <w:tcPr>
            <w:tcW w:w="819"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636.1</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-0.5</w:t>
            </w:r>
          </w:p>
        </w:tc>
        <w:tc>
          <w:tcPr>
            <w:tcW w:w="853" w:type="dxa"/>
            <w:tcBorders>
              <w:top w:val="nil"/>
              <w:left w:val="single" w:sz="6" w:space="0" w:color="auto"/>
              <w:bottom w:val="nil"/>
              <w:right w:val="nil"/>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2.1</w:t>
            </w: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w:t>
            </w:r>
            <w:r w:rsidRPr="00AE0D7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387.8</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-8.1</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322.4</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-12.0</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65.4</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-0.5</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w:t>
            </w:r>
            <w:r w:rsidRPr="00AE0D7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389.1</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-2.2</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329.2</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-0.9</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59.9</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-1.6</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w:t>
            </w:r>
            <w:r w:rsidRPr="00AE0D7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1.9(II)</w:t>
            </w: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393.0</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340.7</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-6.6</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52.3</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-0.7</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2.1(II)</w:t>
            </w: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w:t>
            </w:r>
            <w:r w:rsidRPr="00AE0D7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381.6</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319.1</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62.5</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-0.7</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w:t>
            </w:r>
            <w:r w:rsidRPr="00AE0D7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386.3</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2.2</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335.3</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51.0</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-0.3</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9</w:t>
            </w:r>
            <w:r w:rsidRPr="00AE0D7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1.2(III)</w:t>
            </w: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7.9</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396.9</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-1.4</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327.6</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-6.2</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69.3</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-0.2</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2.1(III)</w:t>
            </w: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w:t>
            </w:r>
            <w:r w:rsidRPr="00AE0D7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396.5</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-9.2</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339.3</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-6.0</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57.2</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-0.1</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Height w:val="283"/>
          <w:jc w:val="center"/>
        </w:trPr>
        <w:tc>
          <w:tcPr>
            <w:tcW w:w="1341" w:type="dxa"/>
            <w:tcBorders>
              <w:top w:val="nil"/>
              <w:left w:val="nil"/>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w:t>
            </w:r>
            <w:r w:rsidRPr="00AE0D7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11.7</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418.9</w:t>
            </w:r>
          </w:p>
        </w:tc>
        <w:tc>
          <w:tcPr>
            <w:tcW w:w="8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374.8</w:t>
            </w:r>
          </w:p>
        </w:tc>
        <w:tc>
          <w:tcPr>
            <w:tcW w:w="7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11.5</w:t>
            </w:r>
          </w:p>
        </w:tc>
        <w:tc>
          <w:tcPr>
            <w:tcW w:w="819"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44.1</w:t>
            </w:r>
          </w:p>
        </w:tc>
        <w:tc>
          <w:tcPr>
            <w:tcW w:w="931" w:type="dxa"/>
            <w:tcBorders>
              <w:top w:val="nil"/>
              <w:left w:val="single" w:sz="6" w:space="0" w:color="auto"/>
              <w:bottom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0.0</w:t>
            </w:r>
          </w:p>
        </w:tc>
        <w:tc>
          <w:tcPr>
            <w:tcW w:w="853" w:type="dxa"/>
            <w:tcBorders>
              <w:top w:val="nil"/>
              <w:left w:val="single" w:sz="6" w:space="0" w:color="auto"/>
              <w:bottom w:val="nil"/>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Height w:val="283"/>
          <w:jc w:val="center"/>
        </w:trPr>
        <w:tc>
          <w:tcPr>
            <w:tcW w:w="1341" w:type="dxa"/>
            <w:tcBorders>
              <w:top w:val="nil"/>
              <w:left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w:t>
            </w:r>
            <w:r w:rsidRPr="00AE0D77">
              <w:rPr>
                <w:rFonts w:eastAsia="標楷體"/>
                <w:sz w:val="22"/>
              </w:rPr>
              <w:t>月</w:t>
            </w:r>
          </w:p>
        </w:tc>
        <w:tc>
          <w:tcPr>
            <w:tcW w:w="931" w:type="dxa"/>
            <w:tcBorders>
              <w:top w:val="nil"/>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2.9(IV)</w:t>
            </w:r>
          </w:p>
        </w:tc>
        <w:tc>
          <w:tcPr>
            <w:tcW w:w="671" w:type="dxa"/>
            <w:tcBorders>
              <w:top w:val="nil"/>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22.1</w:t>
            </w:r>
          </w:p>
        </w:tc>
        <w:tc>
          <w:tcPr>
            <w:tcW w:w="853" w:type="dxa"/>
            <w:tcBorders>
              <w:top w:val="nil"/>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443.2</w:t>
            </w:r>
          </w:p>
        </w:tc>
        <w:tc>
          <w:tcPr>
            <w:tcW w:w="810" w:type="dxa"/>
            <w:tcBorders>
              <w:top w:val="nil"/>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9.2</w:t>
            </w:r>
          </w:p>
        </w:tc>
        <w:tc>
          <w:tcPr>
            <w:tcW w:w="801" w:type="dxa"/>
            <w:tcBorders>
              <w:top w:val="nil"/>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394.7</w:t>
            </w:r>
          </w:p>
        </w:tc>
        <w:tc>
          <w:tcPr>
            <w:tcW w:w="740" w:type="dxa"/>
            <w:tcBorders>
              <w:top w:val="nil"/>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13.2</w:t>
            </w:r>
          </w:p>
        </w:tc>
        <w:tc>
          <w:tcPr>
            <w:tcW w:w="819" w:type="dxa"/>
            <w:tcBorders>
              <w:top w:val="nil"/>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48.5</w:t>
            </w:r>
          </w:p>
        </w:tc>
        <w:tc>
          <w:tcPr>
            <w:tcW w:w="931" w:type="dxa"/>
            <w:tcBorders>
              <w:top w:val="nil"/>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0.2</w:t>
            </w:r>
          </w:p>
        </w:tc>
        <w:tc>
          <w:tcPr>
            <w:tcW w:w="853" w:type="dxa"/>
            <w:tcBorders>
              <w:top w:val="nil"/>
              <w:left w:val="single" w:sz="6" w:space="0" w:color="auto"/>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2.2(IV)</w:t>
            </w:r>
          </w:p>
        </w:tc>
      </w:tr>
      <w:tr w:rsidR="00542E00" w:rsidRPr="00AE0D77" w:rsidTr="00FC4D38">
        <w:trPr>
          <w:cantSplit/>
          <w:trHeight w:val="283"/>
          <w:jc w:val="center"/>
        </w:trPr>
        <w:tc>
          <w:tcPr>
            <w:tcW w:w="1341" w:type="dxa"/>
            <w:tcBorders>
              <w:top w:val="nil"/>
              <w:left w:val="nil"/>
              <w:right w:val="single" w:sz="4"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2017</w:t>
            </w:r>
            <w:r w:rsidRPr="00AE0D77">
              <w:rPr>
                <w:rFonts w:eastAsia="標楷體"/>
                <w:sz w:val="22"/>
              </w:rPr>
              <w:t>年</w:t>
            </w:r>
          </w:p>
        </w:tc>
        <w:tc>
          <w:tcPr>
            <w:tcW w:w="931" w:type="dxa"/>
            <w:tcBorders>
              <w:top w:val="nil"/>
              <w:left w:val="single" w:sz="4" w:space="0" w:color="auto"/>
              <w:right w:val="single" w:sz="4"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2.7</w:t>
            </w:r>
          </w:p>
        </w:tc>
        <w:tc>
          <w:tcPr>
            <w:tcW w:w="671" w:type="dxa"/>
            <w:tcBorders>
              <w:top w:val="nil"/>
              <w:left w:val="single" w:sz="4" w:space="0" w:color="auto"/>
              <w:right w:val="single" w:sz="4"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8.3</w:t>
            </w:r>
          </w:p>
        </w:tc>
        <w:tc>
          <w:tcPr>
            <w:tcW w:w="853" w:type="dxa"/>
            <w:tcBorders>
              <w:top w:val="nil"/>
              <w:left w:val="single" w:sz="4" w:space="0" w:color="auto"/>
              <w:right w:val="single" w:sz="4"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2095.8</w:t>
            </w:r>
          </w:p>
        </w:tc>
        <w:tc>
          <w:tcPr>
            <w:tcW w:w="810" w:type="dxa"/>
            <w:tcBorders>
              <w:top w:val="nil"/>
              <w:left w:val="single" w:sz="4" w:space="0" w:color="auto"/>
              <w:right w:val="single" w:sz="4"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13.4</w:t>
            </w:r>
          </w:p>
        </w:tc>
        <w:tc>
          <w:tcPr>
            <w:tcW w:w="801" w:type="dxa"/>
            <w:tcBorders>
              <w:top w:val="nil"/>
              <w:left w:val="single" w:sz="4" w:space="0" w:color="auto"/>
              <w:right w:val="single" w:sz="4"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1831.4</w:t>
            </w:r>
          </w:p>
        </w:tc>
        <w:tc>
          <w:tcPr>
            <w:tcW w:w="740" w:type="dxa"/>
            <w:tcBorders>
              <w:top w:val="nil"/>
              <w:left w:val="single" w:sz="4" w:space="0" w:color="auto"/>
              <w:right w:val="single" w:sz="4"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14.3</w:t>
            </w:r>
          </w:p>
        </w:tc>
        <w:tc>
          <w:tcPr>
            <w:tcW w:w="819" w:type="dxa"/>
            <w:tcBorders>
              <w:top w:val="nil"/>
              <w:left w:val="single" w:sz="4" w:space="0" w:color="auto"/>
              <w:right w:val="single" w:sz="4"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264.4</w:t>
            </w:r>
          </w:p>
        </w:tc>
        <w:tc>
          <w:tcPr>
            <w:tcW w:w="931" w:type="dxa"/>
            <w:tcBorders>
              <w:top w:val="nil"/>
              <w:left w:val="single" w:sz="4" w:space="0" w:color="auto"/>
              <w:right w:val="single" w:sz="4"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0.6</w:t>
            </w:r>
          </w:p>
        </w:tc>
        <w:tc>
          <w:tcPr>
            <w:tcW w:w="853" w:type="dxa"/>
            <w:tcBorders>
              <w:top w:val="nil"/>
              <w:left w:val="single" w:sz="4" w:space="0" w:color="auto"/>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2.2</w:t>
            </w:r>
          </w:p>
        </w:tc>
      </w:tr>
      <w:tr w:rsidR="00542E00" w:rsidRPr="00AE0D77" w:rsidTr="00FC4D38">
        <w:trPr>
          <w:cantSplit/>
          <w:trHeight w:val="283"/>
          <w:jc w:val="center"/>
        </w:trPr>
        <w:tc>
          <w:tcPr>
            <w:tcW w:w="1341" w:type="dxa"/>
            <w:tcBorders>
              <w:left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w:t>
            </w:r>
            <w:r w:rsidRPr="00AE0D77">
              <w:rPr>
                <w:rFonts w:eastAsia="標楷體"/>
                <w:sz w:val="22"/>
              </w:rPr>
              <w:t>月</w:t>
            </w:r>
          </w:p>
        </w:tc>
        <w:tc>
          <w:tcPr>
            <w:tcW w:w="93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3.8</w:t>
            </w:r>
          </w:p>
        </w:tc>
        <w:tc>
          <w:tcPr>
            <w:tcW w:w="853"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404.0</w:t>
            </w:r>
          </w:p>
        </w:tc>
        <w:tc>
          <w:tcPr>
            <w:tcW w:w="810"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11.1</w:t>
            </w:r>
          </w:p>
        </w:tc>
        <w:tc>
          <w:tcPr>
            <w:tcW w:w="80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367.3</w:t>
            </w:r>
          </w:p>
        </w:tc>
        <w:tc>
          <w:tcPr>
            <w:tcW w:w="740"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20.9</w:t>
            </w:r>
          </w:p>
        </w:tc>
        <w:tc>
          <w:tcPr>
            <w:tcW w:w="819"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36.7</w:t>
            </w:r>
          </w:p>
        </w:tc>
        <w:tc>
          <w:tcPr>
            <w:tcW w:w="93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0.6</w:t>
            </w:r>
          </w:p>
        </w:tc>
        <w:tc>
          <w:tcPr>
            <w:tcW w:w="853" w:type="dxa"/>
            <w:tcBorders>
              <w:left w:val="single" w:sz="6" w:space="0" w:color="auto"/>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Height w:val="283"/>
          <w:jc w:val="center"/>
        </w:trPr>
        <w:tc>
          <w:tcPr>
            <w:tcW w:w="1341" w:type="dxa"/>
            <w:tcBorders>
              <w:left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w:t>
            </w:r>
            <w:r w:rsidRPr="00AE0D77">
              <w:rPr>
                <w:rFonts w:eastAsia="標楷體"/>
                <w:sz w:val="22"/>
              </w:rPr>
              <w:t>月</w:t>
            </w:r>
          </w:p>
        </w:tc>
        <w:tc>
          <w:tcPr>
            <w:tcW w:w="93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12.6</w:t>
            </w:r>
          </w:p>
        </w:tc>
        <w:tc>
          <w:tcPr>
            <w:tcW w:w="853"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393.8</w:t>
            </w:r>
          </w:p>
        </w:tc>
        <w:tc>
          <w:tcPr>
            <w:tcW w:w="810"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21.6</w:t>
            </w:r>
          </w:p>
        </w:tc>
        <w:tc>
          <w:tcPr>
            <w:tcW w:w="80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330.3</w:t>
            </w:r>
          </w:p>
        </w:tc>
        <w:tc>
          <w:tcPr>
            <w:tcW w:w="740"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6.7</w:t>
            </w:r>
          </w:p>
        </w:tc>
        <w:tc>
          <w:tcPr>
            <w:tcW w:w="819"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63.5</w:t>
            </w:r>
          </w:p>
        </w:tc>
        <w:tc>
          <w:tcPr>
            <w:tcW w:w="93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0.7</w:t>
            </w:r>
          </w:p>
        </w:tc>
        <w:tc>
          <w:tcPr>
            <w:tcW w:w="853" w:type="dxa"/>
            <w:tcBorders>
              <w:left w:val="single" w:sz="6" w:space="0" w:color="auto"/>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Height w:val="283"/>
          <w:jc w:val="center"/>
        </w:trPr>
        <w:tc>
          <w:tcPr>
            <w:tcW w:w="1341" w:type="dxa"/>
            <w:tcBorders>
              <w:left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w:t>
            </w:r>
            <w:r w:rsidRPr="00AE0D77">
              <w:rPr>
                <w:rFonts w:eastAsia="標楷體"/>
                <w:sz w:val="22"/>
              </w:rPr>
              <w:t>月</w:t>
            </w:r>
          </w:p>
        </w:tc>
        <w:tc>
          <w:tcPr>
            <w:tcW w:w="93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2.7(I)</w:t>
            </w:r>
          </w:p>
        </w:tc>
        <w:tc>
          <w:tcPr>
            <w:tcW w:w="67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10.2</w:t>
            </w:r>
          </w:p>
        </w:tc>
        <w:tc>
          <w:tcPr>
            <w:tcW w:w="853"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460.7</w:t>
            </w:r>
          </w:p>
        </w:tc>
        <w:tc>
          <w:tcPr>
            <w:tcW w:w="810"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18.7</w:t>
            </w:r>
          </w:p>
        </w:tc>
        <w:tc>
          <w:tcPr>
            <w:tcW w:w="80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400.1</w:t>
            </w:r>
          </w:p>
        </w:tc>
        <w:tc>
          <w:tcPr>
            <w:tcW w:w="740"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18.9</w:t>
            </w:r>
          </w:p>
        </w:tc>
        <w:tc>
          <w:tcPr>
            <w:tcW w:w="819"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60.6</w:t>
            </w:r>
          </w:p>
        </w:tc>
        <w:tc>
          <w:tcPr>
            <w:tcW w:w="93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0.7</w:t>
            </w:r>
          </w:p>
        </w:tc>
        <w:tc>
          <w:tcPr>
            <w:tcW w:w="853" w:type="dxa"/>
            <w:tcBorders>
              <w:left w:val="single" w:sz="6" w:space="0" w:color="auto"/>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2.2(I)</w:t>
            </w:r>
          </w:p>
        </w:tc>
      </w:tr>
      <w:tr w:rsidR="00542E00" w:rsidRPr="00AE0D77" w:rsidTr="00FC4D38">
        <w:trPr>
          <w:cantSplit/>
          <w:trHeight w:val="283"/>
          <w:jc w:val="center"/>
        </w:trPr>
        <w:tc>
          <w:tcPr>
            <w:tcW w:w="1341" w:type="dxa"/>
            <w:tcBorders>
              <w:left w:val="nil"/>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w:t>
            </w:r>
            <w:r w:rsidRPr="00AE0D77">
              <w:rPr>
                <w:rFonts w:eastAsia="標楷體"/>
                <w:sz w:val="22"/>
              </w:rPr>
              <w:t>月</w:t>
            </w:r>
          </w:p>
        </w:tc>
        <w:tc>
          <w:tcPr>
            <w:tcW w:w="93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6.7</w:t>
            </w:r>
          </w:p>
        </w:tc>
        <w:tc>
          <w:tcPr>
            <w:tcW w:w="853"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403.7</w:t>
            </w:r>
          </w:p>
        </w:tc>
        <w:tc>
          <w:tcPr>
            <w:tcW w:w="810"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4.1</w:t>
            </w:r>
          </w:p>
        </w:tc>
        <w:tc>
          <w:tcPr>
            <w:tcW w:w="80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346.4</w:t>
            </w:r>
          </w:p>
        </w:tc>
        <w:tc>
          <w:tcPr>
            <w:tcW w:w="740"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7.4</w:t>
            </w:r>
          </w:p>
        </w:tc>
        <w:tc>
          <w:tcPr>
            <w:tcW w:w="819" w:type="dxa"/>
            <w:tcBorders>
              <w:left w:val="single" w:sz="6"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57.3</w:t>
            </w:r>
          </w:p>
        </w:tc>
        <w:tc>
          <w:tcPr>
            <w:tcW w:w="931" w:type="dxa"/>
            <w:tcBorders>
              <w:left w:val="single" w:sz="6"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0.4</w:t>
            </w:r>
          </w:p>
        </w:tc>
        <w:tc>
          <w:tcPr>
            <w:tcW w:w="853" w:type="dxa"/>
            <w:tcBorders>
              <w:left w:val="single" w:sz="6" w:space="0" w:color="auto"/>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r w:rsidR="00542E00" w:rsidRPr="00AE0D77" w:rsidTr="00FC4D38">
        <w:trPr>
          <w:cantSplit/>
          <w:trHeight w:val="283"/>
          <w:jc w:val="center"/>
        </w:trPr>
        <w:tc>
          <w:tcPr>
            <w:tcW w:w="1341" w:type="dxa"/>
            <w:tcBorders>
              <w:left w:val="nil"/>
              <w:bottom w:val="single" w:sz="4"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5</w:t>
            </w:r>
            <w:r w:rsidRPr="00AE0D77">
              <w:rPr>
                <w:rFonts w:eastAsia="標楷體"/>
                <w:sz w:val="22"/>
              </w:rPr>
              <w:t>月</w:t>
            </w:r>
          </w:p>
        </w:tc>
        <w:tc>
          <w:tcPr>
            <w:tcW w:w="931" w:type="dxa"/>
            <w:tcBorders>
              <w:left w:val="single" w:sz="6" w:space="0" w:color="auto"/>
              <w:bottom w:val="single" w:sz="4"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w:t>
            </w:r>
          </w:p>
        </w:tc>
        <w:tc>
          <w:tcPr>
            <w:tcW w:w="853" w:type="dxa"/>
            <w:tcBorders>
              <w:left w:val="single" w:sz="6" w:space="0" w:color="auto"/>
              <w:bottom w:val="single" w:sz="4"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433.6</w:t>
            </w:r>
          </w:p>
        </w:tc>
        <w:tc>
          <w:tcPr>
            <w:tcW w:w="810" w:type="dxa"/>
            <w:tcBorders>
              <w:left w:val="single" w:sz="6" w:space="0" w:color="auto"/>
              <w:bottom w:val="single" w:sz="4"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11.4</w:t>
            </w:r>
          </w:p>
        </w:tc>
        <w:tc>
          <w:tcPr>
            <w:tcW w:w="801" w:type="dxa"/>
            <w:tcBorders>
              <w:left w:val="single" w:sz="6" w:space="0" w:color="auto"/>
              <w:bottom w:val="single" w:sz="4"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387.3</w:t>
            </w:r>
          </w:p>
        </w:tc>
        <w:tc>
          <w:tcPr>
            <w:tcW w:w="740" w:type="dxa"/>
            <w:tcBorders>
              <w:left w:val="single" w:sz="6" w:space="0" w:color="auto"/>
              <w:bottom w:val="single" w:sz="4"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17.6</w:t>
            </w:r>
          </w:p>
        </w:tc>
        <w:tc>
          <w:tcPr>
            <w:tcW w:w="819" w:type="dxa"/>
            <w:tcBorders>
              <w:left w:val="single" w:sz="6" w:space="0" w:color="auto"/>
              <w:bottom w:val="single" w:sz="4" w:space="0" w:color="auto"/>
              <w:right w:val="single" w:sz="6" w:space="0" w:color="auto"/>
            </w:tcBorders>
            <w:shd w:val="clear" w:color="auto" w:fill="auto"/>
            <w:vAlign w:val="center"/>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46.3</w:t>
            </w:r>
          </w:p>
        </w:tc>
        <w:tc>
          <w:tcPr>
            <w:tcW w:w="931" w:type="dxa"/>
            <w:tcBorders>
              <w:left w:val="single" w:sz="6" w:space="0" w:color="auto"/>
              <w:bottom w:val="single" w:sz="4" w:space="0" w:color="auto"/>
              <w:right w:val="single" w:sz="6" w:space="0" w:color="auto"/>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r w:rsidRPr="00AE0D77">
              <w:rPr>
                <w:rFonts w:eastAsia="標楷體"/>
                <w:sz w:val="22"/>
              </w:rPr>
              <w:t>-</w:t>
            </w:r>
          </w:p>
        </w:tc>
        <w:tc>
          <w:tcPr>
            <w:tcW w:w="853" w:type="dxa"/>
            <w:tcBorders>
              <w:left w:val="single" w:sz="6" w:space="0" w:color="auto"/>
              <w:bottom w:val="single" w:sz="4" w:space="0" w:color="auto"/>
              <w:right w:val="nil"/>
            </w:tcBorders>
            <w:shd w:val="clear" w:color="auto" w:fill="auto"/>
          </w:tcPr>
          <w:p w:rsidR="00542E00" w:rsidRPr="00AE0D77" w:rsidRDefault="00542E00" w:rsidP="00FC4D38">
            <w:pPr>
              <w:autoSpaceDE w:val="0"/>
              <w:autoSpaceDN w:val="0"/>
              <w:adjustRightInd w:val="0"/>
              <w:snapToGrid w:val="0"/>
              <w:spacing w:line="380" w:lineRule="exact"/>
              <w:jc w:val="center"/>
              <w:rPr>
                <w:rFonts w:eastAsia="標楷體"/>
                <w:sz w:val="22"/>
              </w:rPr>
            </w:pPr>
          </w:p>
        </w:tc>
      </w:tr>
    </w:tbl>
    <w:p w:rsidR="00323631" w:rsidRPr="00AE0D77" w:rsidRDefault="00542E00" w:rsidP="009E2424">
      <w:pPr>
        <w:snapToGrid w:val="0"/>
        <w:spacing w:before="120"/>
        <w:ind w:rightChars="13" w:right="31"/>
        <w:rPr>
          <w:rFonts w:eastAsia="標楷體"/>
          <w:b/>
        </w:rPr>
      </w:pPr>
      <w:r w:rsidRPr="00AE0D77">
        <w:rPr>
          <w:rFonts w:eastAsia="標楷體"/>
          <w:sz w:val="22"/>
          <w:lang w:val="zh-TW"/>
        </w:rPr>
        <w:t>資料來源：新加坡統計局、新加坡貿工部、新加坡人力部</w:t>
      </w:r>
      <w:r w:rsidR="009E2424" w:rsidRPr="00AE0D77">
        <w:rPr>
          <w:rFonts w:eastAsia="標楷體"/>
          <w:sz w:val="22"/>
          <w:szCs w:val="22"/>
          <w:lang w:val="zh-TW"/>
        </w:rPr>
        <w:t>。</w:t>
      </w:r>
    </w:p>
    <w:p w:rsidR="00153EA4" w:rsidRPr="00AE0D77" w:rsidRDefault="00153EA4" w:rsidP="006D20BB">
      <w:pPr>
        <w:wordWrap w:val="0"/>
        <w:snapToGrid w:val="0"/>
        <w:ind w:rightChars="13" w:right="31"/>
        <w:rPr>
          <w:rFonts w:eastAsia="標楷體"/>
          <w:b/>
          <w:bCs/>
          <w:sz w:val="40"/>
          <w:szCs w:val="36"/>
        </w:rPr>
      </w:pPr>
      <w:r w:rsidRPr="00AE0D77">
        <w:rPr>
          <w:rFonts w:eastAsia="標楷體"/>
          <w:b/>
          <w:bCs/>
          <w:sz w:val="40"/>
          <w:szCs w:val="36"/>
        </w:rPr>
        <w:br w:type="page"/>
      </w:r>
    </w:p>
    <w:p w:rsidR="00153EA4" w:rsidRPr="00AE0D7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AE0D77">
        <w:rPr>
          <w:b/>
          <w:szCs w:val="28"/>
        </w:rPr>
        <w:t>香港</w:t>
      </w:r>
    </w:p>
    <w:p w:rsidR="00542E00" w:rsidRPr="00AE0D77" w:rsidRDefault="00542E00" w:rsidP="00542E00">
      <w:pPr>
        <w:numPr>
          <w:ilvl w:val="0"/>
          <w:numId w:val="12"/>
        </w:numPr>
        <w:spacing w:beforeLines="50" w:before="180" w:line="480" w:lineRule="exact"/>
        <w:ind w:left="567" w:hanging="425"/>
        <w:jc w:val="both"/>
        <w:rPr>
          <w:rFonts w:eastAsia="標楷體"/>
          <w:sz w:val="28"/>
          <w:szCs w:val="28"/>
        </w:rPr>
      </w:pPr>
      <w:r w:rsidRPr="00AE0D77">
        <w:rPr>
          <w:rFonts w:eastAsia="標楷體"/>
          <w:kern w:val="0"/>
          <w:sz w:val="28"/>
          <w:szCs w:val="28"/>
        </w:rPr>
        <w:t>依據環球透視</w:t>
      </w:r>
      <w:r w:rsidRPr="00AE0D77">
        <w:rPr>
          <w:rFonts w:eastAsia="標楷體"/>
          <w:kern w:val="0"/>
          <w:sz w:val="28"/>
          <w:szCs w:val="28"/>
        </w:rPr>
        <w:t>(Global Insight)</w:t>
      </w:r>
      <w:r w:rsidRPr="00AE0D77">
        <w:rPr>
          <w:rFonts w:eastAsia="標楷體"/>
          <w:kern w:val="0"/>
          <w:sz w:val="28"/>
          <w:szCs w:val="28"/>
        </w:rPr>
        <w:t>今年</w:t>
      </w:r>
      <w:r w:rsidRPr="00AE0D77">
        <w:rPr>
          <w:rFonts w:eastAsia="標楷體"/>
          <w:kern w:val="0"/>
          <w:sz w:val="28"/>
          <w:szCs w:val="28"/>
        </w:rPr>
        <w:t>6</w:t>
      </w:r>
      <w:r w:rsidRPr="00AE0D77">
        <w:rPr>
          <w:rFonts w:eastAsia="標楷體"/>
          <w:kern w:val="0"/>
          <w:sz w:val="28"/>
          <w:szCs w:val="28"/>
        </w:rPr>
        <w:t>月預測資料，香港今年及明年經濟成長率分別為</w:t>
      </w:r>
      <w:r w:rsidRPr="00AE0D77">
        <w:rPr>
          <w:rFonts w:eastAsia="標楷體"/>
          <w:kern w:val="0"/>
          <w:sz w:val="28"/>
          <w:szCs w:val="28"/>
        </w:rPr>
        <w:t>2.6%</w:t>
      </w:r>
      <w:r w:rsidRPr="00AE0D77">
        <w:rPr>
          <w:rFonts w:eastAsia="標楷體"/>
          <w:kern w:val="0"/>
          <w:sz w:val="28"/>
          <w:szCs w:val="28"/>
        </w:rPr>
        <w:t>及</w:t>
      </w:r>
      <w:r w:rsidRPr="00AE0D77">
        <w:rPr>
          <w:rFonts w:eastAsia="標楷體"/>
          <w:kern w:val="0"/>
          <w:sz w:val="28"/>
          <w:szCs w:val="28"/>
        </w:rPr>
        <w:t>2.4%</w:t>
      </w:r>
      <w:r w:rsidRPr="00AE0D77">
        <w:rPr>
          <w:rFonts w:eastAsia="標楷體"/>
          <w:kern w:val="0"/>
          <w:sz w:val="28"/>
          <w:szCs w:val="28"/>
        </w:rPr>
        <w:t>。</w:t>
      </w:r>
    </w:p>
    <w:p w:rsidR="00542E00" w:rsidRPr="00AE0D77" w:rsidRDefault="00542E00" w:rsidP="00542E00">
      <w:pPr>
        <w:numPr>
          <w:ilvl w:val="0"/>
          <w:numId w:val="12"/>
        </w:numPr>
        <w:spacing w:beforeLines="50" w:before="180" w:line="480" w:lineRule="exact"/>
        <w:ind w:left="567" w:hanging="425"/>
        <w:jc w:val="both"/>
        <w:rPr>
          <w:rFonts w:eastAsia="標楷體"/>
          <w:sz w:val="28"/>
          <w:szCs w:val="28"/>
        </w:rPr>
      </w:pPr>
      <w:r w:rsidRPr="00AE0D77">
        <w:rPr>
          <w:rFonts w:eastAsia="標楷體"/>
          <w:sz w:val="28"/>
          <w:szCs w:val="28"/>
        </w:rPr>
        <w:t>香港今年</w:t>
      </w:r>
      <w:r w:rsidRPr="00AE0D77">
        <w:rPr>
          <w:rFonts w:eastAsia="標楷體"/>
          <w:sz w:val="28"/>
          <w:szCs w:val="28"/>
        </w:rPr>
        <w:t>4</w:t>
      </w:r>
      <w:r w:rsidRPr="00AE0D77">
        <w:rPr>
          <w:rFonts w:eastAsia="標楷體"/>
          <w:sz w:val="28"/>
          <w:szCs w:val="28"/>
        </w:rPr>
        <w:t>月出口額</w:t>
      </w:r>
      <w:r w:rsidRPr="00AE0D77">
        <w:rPr>
          <w:rFonts w:eastAsia="標楷體"/>
          <w:sz w:val="28"/>
          <w:szCs w:val="28"/>
        </w:rPr>
        <w:t>3,054</w:t>
      </w:r>
      <w:r w:rsidRPr="00AE0D77">
        <w:rPr>
          <w:rFonts w:eastAsia="標楷體"/>
          <w:sz w:val="28"/>
          <w:szCs w:val="28"/>
        </w:rPr>
        <w:t>億港元，較上年增加</w:t>
      </w:r>
      <w:r w:rsidRPr="00AE0D77">
        <w:rPr>
          <w:rFonts w:eastAsia="標楷體"/>
          <w:sz w:val="28"/>
          <w:szCs w:val="28"/>
        </w:rPr>
        <w:t>7.1%</w:t>
      </w:r>
      <w:r w:rsidRPr="00AE0D77">
        <w:rPr>
          <w:rFonts w:eastAsia="標楷體"/>
          <w:sz w:val="28"/>
          <w:szCs w:val="28"/>
        </w:rPr>
        <w:t>，進口額</w:t>
      </w:r>
      <w:r w:rsidRPr="00AE0D77">
        <w:rPr>
          <w:rFonts w:eastAsia="標楷體"/>
          <w:sz w:val="28"/>
          <w:szCs w:val="28"/>
        </w:rPr>
        <w:t>3,395</w:t>
      </w:r>
      <w:r w:rsidRPr="00AE0D77">
        <w:rPr>
          <w:rFonts w:eastAsia="標楷體"/>
          <w:sz w:val="28"/>
          <w:szCs w:val="28"/>
        </w:rPr>
        <w:t>億港元，增加</w:t>
      </w:r>
      <w:r w:rsidRPr="00AE0D77">
        <w:rPr>
          <w:rFonts w:eastAsia="標楷體"/>
          <w:sz w:val="28"/>
          <w:szCs w:val="28"/>
        </w:rPr>
        <w:t>7.3%</w:t>
      </w:r>
      <w:r w:rsidRPr="00AE0D77">
        <w:rPr>
          <w:rFonts w:eastAsia="標楷體"/>
          <w:kern w:val="0"/>
          <w:sz w:val="28"/>
          <w:szCs w:val="28"/>
        </w:rPr>
        <w:t>，貿易入超為</w:t>
      </w:r>
      <w:r w:rsidRPr="00AE0D77">
        <w:rPr>
          <w:rFonts w:eastAsia="標楷體"/>
          <w:kern w:val="0"/>
          <w:sz w:val="28"/>
          <w:szCs w:val="28"/>
        </w:rPr>
        <w:t>341</w:t>
      </w:r>
      <w:r w:rsidRPr="00AE0D77">
        <w:rPr>
          <w:rFonts w:eastAsia="標楷體"/>
          <w:kern w:val="0"/>
          <w:sz w:val="28"/>
          <w:szCs w:val="28"/>
        </w:rPr>
        <w:t>億港元</w:t>
      </w:r>
      <w:r w:rsidRPr="00AE0D77">
        <w:rPr>
          <w:rFonts w:eastAsia="標楷體"/>
          <w:sz w:val="28"/>
          <w:szCs w:val="28"/>
        </w:rPr>
        <w:t>。以出口貨值計算，輸往印度</w:t>
      </w:r>
      <w:r w:rsidRPr="00AE0D77">
        <w:rPr>
          <w:rFonts w:eastAsia="標楷體"/>
          <w:sz w:val="28"/>
          <w:szCs w:val="28"/>
        </w:rPr>
        <w:t>(96.9%)</w:t>
      </w:r>
      <w:r w:rsidRPr="00AE0D77">
        <w:rPr>
          <w:rFonts w:eastAsia="標楷體"/>
          <w:sz w:val="28"/>
          <w:szCs w:val="28"/>
        </w:rPr>
        <w:t>、臺灣</w:t>
      </w:r>
      <w:r w:rsidRPr="00AE0D77">
        <w:rPr>
          <w:rFonts w:eastAsia="標楷體"/>
          <w:sz w:val="28"/>
          <w:szCs w:val="28"/>
        </w:rPr>
        <w:t>(30%)</w:t>
      </w:r>
      <w:r w:rsidRPr="00AE0D77">
        <w:rPr>
          <w:rFonts w:eastAsia="標楷體"/>
          <w:sz w:val="28"/>
          <w:szCs w:val="28"/>
        </w:rPr>
        <w:t>、越南</w:t>
      </w:r>
      <w:r w:rsidRPr="00AE0D77">
        <w:rPr>
          <w:rFonts w:eastAsia="標楷體"/>
          <w:sz w:val="28"/>
          <w:szCs w:val="28"/>
        </w:rPr>
        <w:t>(18.5%)</w:t>
      </w:r>
      <w:r w:rsidRPr="00AE0D77">
        <w:rPr>
          <w:rFonts w:eastAsia="標楷體"/>
          <w:sz w:val="28"/>
          <w:szCs w:val="28"/>
        </w:rPr>
        <w:t>及中國大陸</w:t>
      </w:r>
      <w:r w:rsidRPr="00AE0D77">
        <w:rPr>
          <w:rFonts w:eastAsia="標楷體"/>
          <w:sz w:val="28"/>
          <w:szCs w:val="28"/>
        </w:rPr>
        <w:t>(4.1%)</w:t>
      </w:r>
      <w:r w:rsidRPr="00AE0D77">
        <w:rPr>
          <w:rFonts w:eastAsia="標楷體"/>
          <w:sz w:val="28"/>
          <w:szCs w:val="28"/>
        </w:rPr>
        <w:t>等國家成長，輸往英國</w:t>
      </w:r>
      <w:r w:rsidRPr="00AE0D77">
        <w:rPr>
          <w:rFonts w:eastAsia="標楷體"/>
          <w:sz w:val="28"/>
          <w:szCs w:val="28"/>
        </w:rPr>
        <w:t>(-12.6)</w:t>
      </w:r>
      <w:r w:rsidRPr="00AE0D77">
        <w:rPr>
          <w:rFonts w:eastAsia="標楷體"/>
          <w:sz w:val="28"/>
          <w:szCs w:val="28"/>
        </w:rPr>
        <w:t>、新加坡</w:t>
      </w:r>
      <w:r w:rsidRPr="00AE0D77">
        <w:rPr>
          <w:rFonts w:eastAsia="標楷體"/>
          <w:sz w:val="28"/>
          <w:szCs w:val="28"/>
        </w:rPr>
        <w:t>(-8.8%)</w:t>
      </w:r>
      <w:r w:rsidRPr="00AE0D77">
        <w:rPr>
          <w:rFonts w:eastAsia="標楷體"/>
          <w:sz w:val="28"/>
          <w:szCs w:val="28"/>
        </w:rPr>
        <w:t>及美國</w:t>
      </w:r>
      <w:r w:rsidRPr="00AE0D77">
        <w:rPr>
          <w:rFonts w:eastAsia="標楷體"/>
          <w:sz w:val="28"/>
          <w:szCs w:val="28"/>
        </w:rPr>
        <w:t>(-1.9%)</w:t>
      </w:r>
      <w:r w:rsidRPr="00AE0D77">
        <w:rPr>
          <w:rFonts w:eastAsia="標楷體"/>
          <w:sz w:val="28"/>
          <w:szCs w:val="28"/>
        </w:rPr>
        <w:t>等國家則衰退。</w:t>
      </w:r>
    </w:p>
    <w:p w:rsidR="00542E00" w:rsidRPr="00AE0D77" w:rsidRDefault="00542E00" w:rsidP="00542E00">
      <w:pPr>
        <w:numPr>
          <w:ilvl w:val="0"/>
          <w:numId w:val="12"/>
        </w:numPr>
        <w:snapToGrid w:val="0"/>
        <w:spacing w:beforeLines="50" w:before="180" w:line="300" w:lineRule="auto"/>
        <w:ind w:left="567" w:rightChars="-95" w:right="-228" w:hanging="425"/>
        <w:jc w:val="both"/>
        <w:rPr>
          <w:rFonts w:eastAsia="標楷體"/>
          <w:sz w:val="28"/>
          <w:szCs w:val="28"/>
        </w:rPr>
      </w:pPr>
      <w:r w:rsidRPr="00AE0D77">
        <w:rPr>
          <w:rFonts w:eastAsia="標楷體"/>
          <w:sz w:val="28"/>
          <w:szCs w:val="28"/>
        </w:rPr>
        <w:t>香港今年</w:t>
      </w:r>
      <w:r w:rsidRPr="00AE0D77">
        <w:rPr>
          <w:rFonts w:eastAsia="標楷體"/>
          <w:sz w:val="28"/>
          <w:szCs w:val="28"/>
        </w:rPr>
        <w:t>4</w:t>
      </w:r>
      <w:r w:rsidRPr="00AE0D77">
        <w:rPr>
          <w:rFonts w:eastAsia="標楷體"/>
          <w:sz w:val="28"/>
          <w:szCs w:val="28"/>
        </w:rPr>
        <w:t>月零售業銷售額為</w:t>
      </w:r>
      <w:r w:rsidRPr="00AE0D77">
        <w:rPr>
          <w:rFonts w:eastAsia="標楷體"/>
          <w:sz w:val="28"/>
          <w:szCs w:val="28"/>
        </w:rPr>
        <w:t>352</w:t>
      </w:r>
      <w:r w:rsidRPr="00AE0D77">
        <w:rPr>
          <w:rFonts w:eastAsia="標楷體"/>
          <w:sz w:val="28"/>
          <w:szCs w:val="28"/>
        </w:rPr>
        <w:t>億港元，較上年同月成長</w:t>
      </w:r>
      <w:r w:rsidRPr="00AE0D77">
        <w:rPr>
          <w:rFonts w:eastAsia="標楷體"/>
          <w:sz w:val="28"/>
          <w:szCs w:val="28"/>
        </w:rPr>
        <w:t>0.1%</w:t>
      </w:r>
      <w:r w:rsidRPr="00AE0D77">
        <w:rPr>
          <w:rFonts w:eastAsia="標楷體"/>
          <w:sz w:val="28"/>
          <w:szCs w:val="28"/>
        </w:rPr>
        <w:t>。香港政府指出，</w:t>
      </w:r>
      <w:r w:rsidRPr="00AE0D77">
        <w:rPr>
          <w:rFonts w:eastAsia="標楷體"/>
          <w:kern w:val="0"/>
          <w:sz w:val="28"/>
          <w:szCs w:val="28"/>
        </w:rPr>
        <w:t>在訪港旅客人次持續改善下，</w:t>
      </w:r>
      <w:r w:rsidRPr="00AE0D77">
        <w:rPr>
          <w:rFonts w:eastAsia="標楷體"/>
          <w:kern w:val="0"/>
          <w:sz w:val="28"/>
          <w:szCs w:val="28"/>
        </w:rPr>
        <w:t>4</w:t>
      </w:r>
      <w:r w:rsidRPr="00AE0D77">
        <w:rPr>
          <w:rFonts w:eastAsia="標楷體"/>
          <w:kern w:val="0"/>
          <w:sz w:val="28"/>
          <w:szCs w:val="28"/>
        </w:rPr>
        <w:t>月份零售業銷售額大致穩定，最近數月旅客消費下跌的情形減少，本地消費意願亦繼續改善。未來零售業銷售表現仍視訪港旅遊業的復甦步伐、美國升息周期及其他外在不確定因素對本地消費意願的影響。</w:t>
      </w:r>
      <w:r w:rsidRPr="00AE0D77">
        <w:rPr>
          <w:rFonts w:eastAsia="標楷體"/>
          <w:sz w:val="28"/>
          <w:szCs w:val="28"/>
        </w:rPr>
        <w:t>主要商品類別衰退較多者，依序為電器及攝影器材</w:t>
      </w:r>
      <w:r w:rsidRPr="00AE0D77">
        <w:rPr>
          <w:rFonts w:eastAsia="標楷體"/>
          <w:sz w:val="28"/>
          <w:szCs w:val="28"/>
        </w:rPr>
        <w:t>(-18%)</w:t>
      </w:r>
      <w:r w:rsidRPr="00AE0D77">
        <w:rPr>
          <w:rFonts w:eastAsia="標楷體"/>
          <w:sz w:val="28"/>
          <w:szCs w:val="28"/>
        </w:rPr>
        <w:t>、汽車及汽車零件</w:t>
      </w:r>
      <w:r w:rsidRPr="00AE0D77">
        <w:rPr>
          <w:rFonts w:eastAsia="標楷體"/>
          <w:sz w:val="28"/>
          <w:szCs w:val="28"/>
        </w:rPr>
        <w:t>(-13.9%)</w:t>
      </w:r>
      <w:r w:rsidRPr="00AE0D77">
        <w:rPr>
          <w:rFonts w:eastAsia="標楷體"/>
          <w:sz w:val="28"/>
          <w:szCs w:val="28"/>
        </w:rPr>
        <w:t>及雜項耐用消費品</w:t>
      </w:r>
      <w:r w:rsidRPr="00AE0D77">
        <w:rPr>
          <w:rFonts w:eastAsia="標楷體"/>
          <w:sz w:val="28"/>
          <w:szCs w:val="28"/>
        </w:rPr>
        <w:t>(-12.4%)</w:t>
      </w:r>
      <w:r w:rsidRPr="00AE0D77">
        <w:rPr>
          <w:rFonts w:eastAsia="標楷體"/>
          <w:sz w:val="28"/>
          <w:szCs w:val="28"/>
        </w:rPr>
        <w:t>。</w:t>
      </w:r>
    </w:p>
    <w:p w:rsidR="002339B6" w:rsidRPr="00AE0D77" w:rsidRDefault="00542E00" w:rsidP="00542E00">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AE0D77">
        <w:rPr>
          <w:rFonts w:ascii="Times New Roman" w:eastAsia="標楷體" w:hAnsi="Times New Roman"/>
          <w:kern w:val="0"/>
          <w:sz w:val="28"/>
          <w:szCs w:val="28"/>
        </w:rPr>
        <w:t>香港立法會財務委員會於今年</w:t>
      </w:r>
      <w:r w:rsidRPr="00AE0D77">
        <w:rPr>
          <w:rFonts w:ascii="Times New Roman" w:eastAsia="標楷體" w:hAnsi="Times New Roman"/>
          <w:kern w:val="0"/>
          <w:sz w:val="28"/>
          <w:szCs w:val="28"/>
        </w:rPr>
        <w:t>5</w:t>
      </w:r>
      <w:r w:rsidRPr="00AE0D77">
        <w:rPr>
          <w:rFonts w:ascii="Times New Roman" w:eastAsia="標楷體" w:hAnsi="Times New Roman"/>
          <w:kern w:val="0"/>
          <w:sz w:val="28"/>
          <w:szCs w:val="28"/>
        </w:rPr>
        <w:t>月</w:t>
      </w:r>
      <w:r w:rsidRPr="00AE0D77">
        <w:rPr>
          <w:rFonts w:ascii="Times New Roman" w:eastAsia="標楷體" w:hAnsi="Times New Roman"/>
          <w:kern w:val="0"/>
          <w:sz w:val="28"/>
          <w:szCs w:val="28"/>
        </w:rPr>
        <w:t>12</w:t>
      </w:r>
      <w:r w:rsidRPr="00AE0D77">
        <w:rPr>
          <w:rFonts w:ascii="Times New Roman" w:eastAsia="標楷體" w:hAnsi="Times New Roman"/>
          <w:kern w:val="0"/>
          <w:sz w:val="28"/>
          <w:szCs w:val="28"/>
        </w:rPr>
        <w:t>日通過香港認繳亞洲基礎設施投資銀行（亞投行）</w:t>
      </w:r>
      <w:r w:rsidRPr="00AE0D77">
        <w:rPr>
          <w:rFonts w:ascii="Times New Roman" w:eastAsia="標楷體" w:hAnsi="Times New Roman"/>
          <w:kern w:val="0"/>
          <w:sz w:val="28"/>
          <w:szCs w:val="28"/>
        </w:rPr>
        <w:t>7,651</w:t>
      </w:r>
      <w:r w:rsidRPr="00AE0D77">
        <w:rPr>
          <w:rFonts w:ascii="Times New Roman" w:eastAsia="標楷體" w:hAnsi="Times New Roman"/>
          <w:kern w:val="0"/>
          <w:sz w:val="28"/>
          <w:szCs w:val="28"/>
        </w:rPr>
        <w:t>股股本，隨著完成後續的法律程序後，香港政府於</w:t>
      </w:r>
      <w:r w:rsidRPr="00AE0D77">
        <w:rPr>
          <w:rFonts w:ascii="Times New Roman" w:eastAsia="標楷體" w:hAnsi="Times New Roman"/>
          <w:kern w:val="0"/>
          <w:sz w:val="28"/>
          <w:szCs w:val="28"/>
        </w:rPr>
        <w:t>6</w:t>
      </w:r>
      <w:r w:rsidRPr="00AE0D77">
        <w:rPr>
          <w:rFonts w:ascii="Times New Roman" w:eastAsia="標楷體" w:hAnsi="Times New Roman"/>
          <w:kern w:val="0"/>
          <w:sz w:val="28"/>
          <w:szCs w:val="28"/>
        </w:rPr>
        <w:t>月</w:t>
      </w:r>
      <w:r w:rsidRPr="00AE0D77">
        <w:rPr>
          <w:rFonts w:ascii="Times New Roman" w:eastAsia="標楷體" w:hAnsi="Times New Roman"/>
          <w:kern w:val="0"/>
          <w:sz w:val="28"/>
          <w:szCs w:val="28"/>
        </w:rPr>
        <w:t>13</w:t>
      </w:r>
      <w:r w:rsidRPr="00AE0D77">
        <w:rPr>
          <w:rFonts w:ascii="Times New Roman" w:eastAsia="標楷體" w:hAnsi="Times New Roman"/>
          <w:kern w:val="0"/>
          <w:sz w:val="28"/>
          <w:szCs w:val="28"/>
        </w:rPr>
        <w:t>日正式宣布成為亞投行的新成員，後續將利用其國際金融中心、成熟穩健和流動性充裕的金融市場、專業人才及擁有「一國兩制」等優勢，協助亞投行籌集資金，為該行的不同基建項目融資，期發展成區內的基建融資樞紐。</w:t>
      </w:r>
    </w:p>
    <w:p w:rsidR="002339B6" w:rsidRPr="00AE0D77" w:rsidRDefault="002339B6" w:rsidP="002339B6">
      <w:pPr>
        <w:snapToGrid w:val="0"/>
        <w:spacing w:before="120" w:line="300" w:lineRule="auto"/>
        <w:ind w:rightChars="-95" w:right="-228"/>
        <w:rPr>
          <w:rFonts w:eastAsia="標楷體"/>
          <w:sz w:val="28"/>
          <w:szCs w:val="28"/>
        </w:rPr>
      </w:pPr>
    </w:p>
    <w:p w:rsidR="00E77A0E" w:rsidRPr="00AE0D77" w:rsidRDefault="00E77A0E" w:rsidP="002339B6">
      <w:pPr>
        <w:snapToGrid w:val="0"/>
        <w:spacing w:before="120" w:line="300" w:lineRule="auto"/>
        <w:ind w:rightChars="-95" w:right="-228"/>
        <w:rPr>
          <w:rFonts w:eastAsia="標楷體"/>
          <w:sz w:val="28"/>
          <w:szCs w:val="28"/>
        </w:rPr>
      </w:pPr>
    </w:p>
    <w:p w:rsidR="002339B6" w:rsidRPr="00AE0D77" w:rsidRDefault="002339B6" w:rsidP="002339B6">
      <w:pPr>
        <w:snapToGrid w:val="0"/>
        <w:spacing w:before="120" w:line="300" w:lineRule="auto"/>
        <w:ind w:rightChars="-95" w:right="-228"/>
        <w:rPr>
          <w:rFonts w:eastAsia="標楷體"/>
          <w:sz w:val="28"/>
          <w:szCs w:val="28"/>
        </w:rPr>
      </w:pPr>
    </w:p>
    <w:p w:rsidR="002339B6" w:rsidRPr="00AE0D77" w:rsidRDefault="002339B6" w:rsidP="002339B6">
      <w:pPr>
        <w:snapToGrid w:val="0"/>
        <w:spacing w:before="120" w:line="300" w:lineRule="auto"/>
        <w:ind w:rightChars="-95" w:right="-228"/>
        <w:rPr>
          <w:rFonts w:eastAsia="標楷體"/>
          <w:sz w:val="28"/>
          <w:szCs w:val="28"/>
        </w:rPr>
      </w:pPr>
    </w:p>
    <w:p w:rsidR="002339B6" w:rsidRPr="00AE0D77" w:rsidRDefault="002339B6" w:rsidP="002339B6">
      <w:pPr>
        <w:snapToGrid w:val="0"/>
        <w:spacing w:before="120" w:line="300" w:lineRule="auto"/>
        <w:ind w:rightChars="-95" w:right="-228"/>
        <w:rPr>
          <w:rFonts w:eastAsia="標楷體"/>
          <w:sz w:val="28"/>
          <w:szCs w:val="28"/>
        </w:rPr>
      </w:pPr>
    </w:p>
    <w:p w:rsidR="00542E00" w:rsidRPr="00AE0D77" w:rsidRDefault="00542E00">
      <w:pPr>
        <w:widowControl/>
        <w:rPr>
          <w:rFonts w:eastAsia="標楷體"/>
          <w:b/>
          <w:kern w:val="0"/>
          <w:sz w:val="28"/>
          <w:szCs w:val="32"/>
          <w:lang w:val="zh-TW"/>
        </w:rPr>
      </w:pPr>
      <w:r w:rsidRPr="00AE0D77">
        <w:rPr>
          <w:rFonts w:eastAsia="標楷體"/>
          <w:b/>
          <w:kern w:val="0"/>
          <w:sz w:val="28"/>
          <w:szCs w:val="32"/>
          <w:lang w:val="zh-TW"/>
        </w:rPr>
        <w:br w:type="page"/>
      </w:r>
    </w:p>
    <w:p w:rsidR="004B3C8F" w:rsidRPr="00AE0D77" w:rsidRDefault="004B3C8F" w:rsidP="004B3C8F">
      <w:pPr>
        <w:widowControl/>
        <w:tabs>
          <w:tab w:val="left" w:pos="6840"/>
        </w:tabs>
        <w:snapToGrid w:val="0"/>
        <w:spacing w:beforeLines="50" w:before="180" w:line="288" w:lineRule="auto"/>
        <w:jc w:val="center"/>
        <w:rPr>
          <w:rFonts w:eastAsia="標楷體"/>
          <w:b/>
          <w:kern w:val="0"/>
          <w:sz w:val="28"/>
          <w:szCs w:val="20"/>
        </w:rPr>
      </w:pPr>
      <w:r w:rsidRPr="00AE0D77">
        <w:rPr>
          <w:rFonts w:eastAsia="標楷體"/>
          <w:b/>
          <w:kern w:val="0"/>
          <w:sz w:val="28"/>
          <w:szCs w:val="32"/>
          <w:lang w:val="zh-TW"/>
        </w:rPr>
        <w:t>表</w:t>
      </w:r>
      <w:r w:rsidRPr="00AE0D77">
        <w:rPr>
          <w:rFonts w:eastAsia="標楷體"/>
          <w:b/>
          <w:kern w:val="0"/>
          <w:sz w:val="28"/>
          <w:szCs w:val="32"/>
          <w:lang w:val="zh-TW"/>
        </w:rPr>
        <w:t xml:space="preserve">1-3-4   </w:t>
      </w:r>
      <w:r w:rsidRPr="00AE0D77">
        <w:rPr>
          <w:rFonts w:eastAsia="標楷體"/>
          <w:b/>
          <w:kern w:val="0"/>
          <w:sz w:val="28"/>
          <w:szCs w:val="32"/>
          <w:lang w:val="zh-TW"/>
        </w:rPr>
        <w:t>香港重要經濟指標</w:t>
      </w:r>
    </w:p>
    <w:p w:rsidR="00280BBF" w:rsidRPr="00AE0D77" w:rsidRDefault="004B3C8F" w:rsidP="00280BBF">
      <w:pPr>
        <w:tabs>
          <w:tab w:val="left" w:pos="6840"/>
        </w:tabs>
        <w:snapToGrid w:val="0"/>
        <w:jc w:val="right"/>
        <w:rPr>
          <w:rFonts w:eastAsia="標楷體"/>
          <w:bCs/>
          <w:sz w:val="22"/>
          <w:szCs w:val="28"/>
          <w:lang w:val="zh-TW"/>
        </w:rPr>
      </w:pPr>
      <w:r w:rsidRPr="00AE0D77">
        <w:rPr>
          <w:rFonts w:eastAsia="標楷體"/>
          <w:bCs/>
          <w:sz w:val="28"/>
          <w:szCs w:val="32"/>
          <w:lang w:val="zh-TW"/>
        </w:rPr>
        <w:t xml:space="preserve">            </w:t>
      </w:r>
      <w:r w:rsidR="00280BBF" w:rsidRPr="00AE0D77">
        <w:rPr>
          <w:rFonts w:eastAsia="標楷體"/>
          <w:bCs/>
          <w:sz w:val="22"/>
          <w:szCs w:val="28"/>
          <w:lang w:val="zh-TW"/>
        </w:rPr>
        <w:t>單位：</w:t>
      </w:r>
      <w:r w:rsidR="00280BBF" w:rsidRPr="00AE0D77">
        <w:rPr>
          <w:rFonts w:eastAsia="標楷體"/>
          <w:bCs/>
          <w:sz w:val="22"/>
          <w:szCs w:val="28"/>
          <w:lang w:val="zh-TW"/>
        </w:rPr>
        <w:t>10</w:t>
      </w:r>
      <w:r w:rsidR="00280BBF" w:rsidRPr="00AE0D77">
        <w:rPr>
          <w:rFonts w:eastAsia="標楷體"/>
          <w:bCs/>
          <w:sz w:val="22"/>
          <w:szCs w:val="28"/>
          <w:lang w:val="zh-TW"/>
        </w:rPr>
        <w:t>億港元；</w:t>
      </w:r>
      <w:r w:rsidR="00280BBF" w:rsidRPr="00AE0D77">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542E00" w:rsidRPr="00AE0D77" w:rsidTr="00FC4D38">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年</w:t>
            </w:r>
            <w:r w:rsidRPr="00AE0D77">
              <w:rPr>
                <w:rFonts w:eastAsia="標楷體"/>
                <w:bCs/>
                <w:sz w:val="22"/>
              </w:rPr>
              <w:t>(</w:t>
            </w:r>
            <w:r w:rsidRPr="00AE0D77">
              <w:rPr>
                <w:rFonts w:eastAsia="標楷體"/>
                <w:bCs/>
                <w:sz w:val="22"/>
                <w:lang w:val="zh-TW"/>
              </w:rPr>
              <w:t>月</w:t>
            </w:r>
            <w:r w:rsidRPr="00AE0D77">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實質</w:t>
            </w:r>
          </w:p>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工業</w:t>
            </w:r>
          </w:p>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szCs w:val="20"/>
              </w:rPr>
            </w:pPr>
            <w:r w:rsidRPr="00AE0D77">
              <w:rPr>
                <w:rFonts w:eastAsia="標楷體"/>
                <w:bCs/>
                <w:sz w:val="22"/>
                <w:szCs w:val="20"/>
              </w:rPr>
              <w:t>貿</w:t>
            </w:r>
            <w:r w:rsidRPr="00AE0D77">
              <w:rPr>
                <w:rFonts w:eastAsia="標楷體"/>
                <w:bCs/>
                <w:sz w:val="22"/>
                <w:szCs w:val="20"/>
              </w:rPr>
              <w:t xml:space="preserve">    </w:t>
            </w:r>
            <w:r w:rsidRPr="00AE0D7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lang w:val="zh-TW"/>
              </w:rPr>
            </w:pPr>
            <w:r w:rsidRPr="00AE0D77">
              <w:rPr>
                <w:rFonts w:eastAsia="標楷體"/>
                <w:bCs/>
                <w:sz w:val="22"/>
                <w:lang w:val="zh-TW"/>
              </w:rPr>
              <w:t>消費者</w:t>
            </w:r>
          </w:p>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lang w:val="zh-TW"/>
              </w:rPr>
              <w:t>失業率</w:t>
            </w:r>
          </w:p>
        </w:tc>
      </w:tr>
      <w:tr w:rsidR="00542E00" w:rsidRPr="00AE0D77" w:rsidTr="00FC4D3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542E00" w:rsidRPr="00AE0D77" w:rsidRDefault="00542E00" w:rsidP="00FC4D3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42E00" w:rsidRPr="00AE0D77" w:rsidRDefault="00542E00" w:rsidP="00542E00">
            <w:pPr>
              <w:tabs>
                <w:tab w:val="left" w:pos="6840"/>
              </w:tabs>
              <w:autoSpaceDE w:val="0"/>
              <w:autoSpaceDN w:val="0"/>
              <w:adjustRightInd w:val="0"/>
              <w:snapToGrid w:val="0"/>
              <w:spacing w:beforeLines="30" w:before="108" w:line="240" w:lineRule="atLeast"/>
              <w:jc w:val="center"/>
              <w:rPr>
                <w:rFonts w:eastAsia="標楷體"/>
                <w:bCs/>
                <w:sz w:val="22"/>
              </w:rPr>
            </w:pPr>
            <w:r w:rsidRPr="00AE0D7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42E00" w:rsidRPr="00AE0D77" w:rsidRDefault="00542E00" w:rsidP="00FC4D38">
            <w:pPr>
              <w:widowControl/>
              <w:rPr>
                <w:rFonts w:eastAsia="標楷體"/>
                <w:bCs/>
                <w:sz w:val="22"/>
              </w:rPr>
            </w:pPr>
          </w:p>
        </w:tc>
      </w:tr>
      <w:tr w:rsidR="00542E00" w:rsidRPr="00AE0D77" w:rsidTr="00FC4D3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542E00" w:rsidRPr="00AE0D77" w:rsidRDefault="00542E00" w:rsidP="00FC4D3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42E00" w:rsidRPr="00AE0D77" w:rsidRDefault="00542E00" w:rsidP="00FC4D38">
            <w:pPr>
              <w:tabs>
                <w:tab w:val="left" w:pos="6840"/>
              </w:tabs>
              <w:autoSpaceDE w:val="0"/>
              <w:autoSpaceDN w:val="0"/>
              <w:adjustRightInd w:val="0"/>
              <w:snapToGrid w:val="0"/>
              <w:spacing w:line="240" w:lineRule="atLeast"/>
              <w:jc w:val="center"/>
              <w:rPr>
                <w:rFonts w:eastAsia="標楷體"/>
                <w:bCs/>
                <w:sz w:val="22"/>
              </w:rPr>
            </w:pPr>
            <w:r w:rsidRPr="00AE0D77">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42E00" w:rsidRPr="00AE0D77" w:rsidRDefault="00542E00" w:rsidP="00FC4D3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42E00" w:rsidRPr="00AE0D77" w:rsidRDefault="00542E00" w:rsidP="00FC4D38">
            <w:pPr>
              <w:widowControl/>
              <w:rPr>
                <w:rFonts w:eastAsia="標楷體"/>
                <w:bCs/>
                <w:sz w:val="22"/>
              </w:rPr>
            </w:pPr>
          </w:p>
        </w:tc>
      </w:tr>
      <w:tr w:rsidR="00542E00" w:rsidRPr="00AE0D77" w:rsidTr="00FC4D38">
        <w:trPr>
          <w:cantSplit/>
          <w:trHeight w:val="340"/>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2011</w:t>
            </w:r>
            <w:r w:rsidRPr="00AE0D77">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4.9</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0.7</w:t>
            </w: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3,337.3</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10.1</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3,764.6</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11.9</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-427.3</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5.3</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3.4</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2012</w:t>
            </w:r>
            <w:r w:rsidRPr="00AE0D77">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1.7</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-0.8</w:t>
            </w: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3,434.3</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2.9</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3,912.2</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-477.8</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4.1</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3.3</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2013</w:t>
            </w:r>
            <w:r w:rsidRPr="00AE0D77">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3.1</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0.1</w:t>
            </w: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3,559.7</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4,060.7</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3.8</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-501.0</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4.3</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3.4</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2014</w:t>
            </w:r>
            <w:r w:rsidRPr="00AE0D77">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2.6</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-0.4</w:t>
            </w: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3,672.8</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3.2</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4,219.0</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-546.3</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4.4</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3.2</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2015</w:t>
            </w:r>
            <w:r w:rsidRPr="00AE0D77">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2.4</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-1.5</w:t>
            </w:r>
          </w:p>
        </w:tc>
        <w:tc>
          <w:tcPr>
            <w:tcW w:w="8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3,605.3</w:t>
            </w:r>
          </w:p>
        </w:tc>
        <w:tc>
          <w:tcPr>
            <w:tcW w:w="784"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-1.8</w:t>
            </w:r>
          </w:p>
        </w:tc>
        <w:tc>
          <w:tcPr>
            <w:tcW w:w="853"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4,046.4</w:t>
            </w:r>
          </w:p>
        </w:tc>
        <w:tc>
          <w:tcPr>
            <w:tcW w:w="784"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-4.1</w:t>
            </w:r>
          </w:p>
        </w:tc>
        <w:tc>
          <w:tcPr>
            <w:tcW w:w="9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-441.1</w:t>
            </w:r>
          </w:p>
        </w:tc>
        <w:tc>
          <w:tcPr>
            <w:tcW w:w="854"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3.0</w:t>
            </w:r>
          </w:p>
        </w:tc>
        <w:tc>
          <w:tcPr>
            <w:tcW w:w="835" w:type="dxa"/>
            <w:tcBorders>
              <w:top w:val="nil"/>
              <w:left w:val="single" w:sz="6" w:space="0" w:color="auto"/>
              <w:bottom w:val="nil"/>
              <w:right w:val="nil"/>
            </w:tcBorders>
            <w:shd w:val="clear" w:color="auto" w:fill="auto"/>
            <w:vAlign w:val="center"/>
          </w:tcPr>
          <w:p w:rsidR="00542E00" w:rsidRPr="00AE0D77" w:rsidRDefault="00542E00" w:rsidP="00FC4D38">
            <w:pPr>
              <w:jc w:val="center"/>
              <w:rPr>
                <w:rFonts w:eastAsia="標楷體"/>
              </w:rPr>
            </w:pPr>
            <w:r w:rsidRPr="00AE0D77">
              <w:rPr>
                <w:rFonts w:eastAsia="標楷體"/>
              </w:rPr>
              <w:t>3.3</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2016</w:t>
            </w:r>
            <w:r w:rsidRPr="00AE0D77">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highlight w:val="yellow"/>
              </w:rPr>
            </w:pPr>
            <w:r w:rsidRPr="00AE0D77">
              <w:rPr>
                <w:rFonts w:eastAsia="標楷體"/>
                <w:sz w:val="22"/>
              </w:rPr>
              <w:t>2.0</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-0.4</w:t>
            </w:r>
          </w:p>
        </w:tc>
        <w:tc>
          <w:tcPr>
            <w:tcW w:w="84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3,588.2</w:t>
            </w:r>
          </w:p>
        </w:tc>
        <w:tc>
          <w:tcPr>
            <w:tcW w:w="784"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-0.5</w:t>
            </w:r>
          </w:p>
        </w:tc>
        <w:tc>
          <w:tcPr>
            <w:tcW w:w="853"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4,008.4</w:t>
            </w:r>
          </w:p>
        </w:tc>
        <w:tc>
          <w:tcPr>
            <w:tcW w:w="784"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-0.9</w:t>
            </w:r>
          </w:p>
        </w:tc>
        <w:tc>
          <w:tcPr>
            <w:tcW w:w="910"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-420.1</w:t>
            </w:r>
          </w:p>
        </w:tc>
        <w:tc>
          <w:tcPr>
            <w:tcW w:w="854" w:type="dxa"/>
            <w:tcBorders>
              <w:top w:val="nil"/>
              <w:left w:val="single" w:sz="6" w:space="0" w:color="auto"/>
              <w:bottom w:val="nil"/>
              <w:right w:val="single" w:sz="6" w:space="0" w:color="auto"/>
            </w:tcBorders>
            <w:shd w:val="clear" w:color="auto" w:fill="auto"/>
            <w:vAlign w:val="center"/>
          </w:tcPr>
          <w:p w:rsidR="00542E00" w:rsidRPr="00AE0D77" w:rsidRDefault="00542E00" w:rsidP="00FC4D38">
            <w:pPr>
              <w:jc w:val="center"/>
              <w:rPr>
                <w:rFonts w:eastAsia="標楷體"/>
                <w:sz w:val="22"/>
              </w:rPr>
            </w:pPr>
            <w:r w:rsidRPr="00AE0D77">
              <w:rPr>
                <w:rFonts w:eastAsia="標楷體"/>
                <w:sz w:val="22"/>
              </w:rPr>
              <w:t>2.4</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3.3</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285.3</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-2.3</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316.3</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-4.5</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-31.0</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2.7</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3.4</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5</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291.5</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-0.1</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317.7</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-4.3</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-26.2</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2.6</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3.4</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6</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1.8(II)</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-0.4(II)</w:t>
            </w: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296.5</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-1.0</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342.1</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-0.9</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-45.6</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2.4</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3.4</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7</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304.5</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-5.1</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337.8</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-3.3</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-33.3</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2.3</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3.4</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8</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309.7</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0.8</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341.8</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2.8</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-32.1</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4.3</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3.4</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9</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2.0(III)</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-0.1(III)</w:t>
            </w: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328.0</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367.7</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4.1</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-39.7</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2.7</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3.4</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10</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313.7</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-1.8</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350.9</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0.5</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-37.2</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1.2</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3.4</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11</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340.9</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8.1</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375.0</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7.6</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1.2</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3.3</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12</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3.2(IV)</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-0.8(IV)</w:t>
            </w: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340.3</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10.1</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385.8</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8.7</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1.2</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3.3</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2017</w:t>
            </w:r>
            <w:r w:rsidRPr="00AE0D77">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4.3</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0.2</w:t>
            </w: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1165.3</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10.3</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1310.3</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10.8</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-145</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1.1</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3.2</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296.3</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308.6</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-2.7</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-12.3</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1.3</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3.3</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241.7</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18.2</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298.0</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25.4</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-56.3</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-0.1</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3.3</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4.3(I)</w:t>
            </w: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0.2(I)</w:t>
            </w: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321.9</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16.9</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364.2</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13.0</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-42.3</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0.5</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3.2</w:t>
            </w:r>
          </w:p>
        </w:tc>
      </w:tr>
      <w:tr w:rsidR="00542E00" w:rsidRPr="00AE0D77" w:rsidTr="00FC4D38">
        <w:trPr>
          <w:cantSplit/>
        </w:trPr>
        <w:tc>
          <w:tcPr>
            <w:tcW w:w="1544" w:type="dxa"/>
            <w:tcBorders>
              <w:top w:val="nil"/>
              <w:left w:val="nil"/>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4</w:t>
            </w:r>
            <w:r w:rsidRPr="00AE0D77">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305.4</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339.5</w:t>
            </w:r>
          </w:p>
        </w:tc>
        <w:tc>
          <w:tcPr>
            <w:tcW w:w="78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7.3</w:t>
            </w:r>
          </w:p>
        </w:tc>
        <w:tc>
          <w:tcPr>
            <w:tcW w:w="910"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w:t>
            </w:r>
          </w:p>
        </w:tc>
        <w:tc>
          <w:tcPr>
            <w:tcW w:w="835" w:type="dxa"/>
            <w:tcBorders>
              <w:top w:val="nil"/>
              <w:left w:val="single" w:sz="6" w:space="0" w:color="auto"/>
              <w:bottom w:val="nil"/>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3.2</w:t>
            </w:r>
          </w:p>
        </w:tc>
      </w:tr>
      <w:tr w:rsidR="00542E00" w:rsidRPr="00AE0D77" w:rsidTr="00FC4D38">
        <w:trPr>
          <w:cantSplit/>
        </w:trPr>
        <w:tc>
          <w:tcPr>
            <w:tcW w:w="1544" w:type="dxa"/>
            <w:tcBorders>
              <w:top w:val="nil"/>
              <w:left w:val="nil"/>
              <w:bottom w:val="single" w:sz="6" w:space="0" w:color="auto"/>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5</w:t>
            </w:r>
            <w:r w:rsidRPr="00AE0D77">
              <w:rPr>
                <w:rFonts w:eastAsia="標楷體"/>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542E00" w:rsidRPr="00AE0D77" w:rsidRDefault="00542E00" w:rsidP="00FC4D38">
            <w:pPr>
              <w:jc w:val="center"/>
              <w:rPr>
                <w:rFonts w:eastAsia="標楷體"/>
                <w:sz w:val="22"/>
              </w:rPr>
            </w:pPr>
          </w:p>
        </w:tc>
        <w:tc>
          <w:tcPr>
            <w:tcW w:w="844" w:type="dxa"/>
            <w:tcBorders>
              <w:top w:val="nil"/>
              <w:left w:val="single" w:sz="6" w:space="0" w:color="auto"/>
              <w:bottom w:val="single" w:sz="6" w:space="0" w:color="auto"/>
              <w:right w:val="single" w:sz="6" w:space="0" w:color="auto"/>
            </w:tcBorders>
            <w:shd w:val="clear" w:color="auto" w:fill="auto"/>
          </w:tcPr>
          <w:p w:rsidR="00542E00" w:rsidRPr="00AE0D77" w:rsidRDefault="00542E00" w:rsidP="00FC4D38">
            <w:pPr>
              <w:jc w:val="center"/>
              <w:rPr>
                <w:rFonts w:eastAsia="標楷體"/>
                <w:sz w:val="22"/>
              </w:rPr>
            </w:pPr>
          </w:p>
        </w:tc>
        <w:tc>
          <w:tcPr>
            <w:tcW w:w="840" w:type="dxa"/>
            <w:tcBorders>
              <w:top w:val="nil"/>
              <w:left w:val="single" w:sz="6" w:space="0" w:color="auto"/>
              <w:bottom w:val="single" w:sz="6" w:space="0" w:color="auto"/>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w:t>
            </w:r>
          </w:p>
        </w:tc>
        <w:tc>
          <w:tcPr>
            <w:tcW w:w="784" w:type="dxa"/>
            <w:tcBorders>
              <w:top w:val="nil"/>
              <w:left w:val="single" w:sz="6" w:space="0" w:color="auto"/>
              <w:bottom w:val="single" w:sz="6" w:space="0" w:color="auto"/>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w:t>
            </w:r>
          </w:p>
        </w:tc>
        <w:tc>
          <w:tcPr>
            <w:tcW w:w="853" w:type="dxa"/>
            <w:tcBorders>
              <w:top w:val="nil"/>
              <w:left w:val="single" w:sz="6" w:space="0" w:color="auto"/>
              <w:bottom w:val="single" w:sz="6" w:space="0" w:color="auto"/>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w:t>
            </w:r>
          </w:p>
        </w:tc>
        <w:tc>
          <w:tcPr>
            <w:tcW w:w="784" w:type="dxa"/>
            <w:tcBorders>
              <w:top w:val="nil"/>
              <w:left w:val="single" w:sz="6" w:space="0" w:color="auto"/>
              <w:bottom w:val="single" w:sz="6" w:space="0" w:color="auto"/>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w:t>
            </w:r>
          </w:p>
        </w:tc>
        <w:tc>
          <w:tcPr>
            <w:tcW w:w="910" w:type="dxa"/>
            <w:tcBorders>
              <w:top w:val="nil"/>
              <w:left w:val="single" w:sz="6" w:space="0" w:color="auto"/>
              <w:bottom w:val="single" w:sz="6" w:space="0" w:color="auto"/>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w:t>
            </w:r>
          </w:p>
        </w:tc>
        <w:tc>
          <w:tcPr>
            <w:tcW w:w="854" w:type="dxa"/>
            <w:tcBorders>
              <w:top w:val="nil"/>
              <w:left w:val="single" w:sz="6" w:space="0" w:color="auto"/>
              <w:bottom w:val="single" w:sz="6" w:space="0" w:color="auto"/>
              <w:right w:val="single" w:sz="6" w:space="0" w:color="auto"/>
            </w:tcBorders>
            <w:shd w:val="clear" w:color="auto" w:fill="auto"/>
          </w:tcPr>
          <w:p w:rsidR="00542E00" w:rsidRPr="00AE0D77" w:rsidRDefault="00542E00" w:rsidP="00FC4D38">
            <w:pPr>
              <w:jc w:val="center"/>
              <w:rPr>
                <w:rFonts w:eastAsia="標楷體"/>
                <w:sz w:val="22"/>
              </w:rPr>
            </w:pPr>
            <w:r w:rsidRPr="00AE0D77">
              <w:rPr>
                <w:rFonts w:eastAsia="標楷體"/>
                <w:sz w:val="22"/>
              </w:rPr>
              <w:t>2.0</w:t>
            </w:r>
          </w:p>
        </w:tc>
        <w:tc>
          <w:tcPr>
            <w:tcW w:w="835" w:type="dxa"/>
            <w:tcBorders>
              <w:top w:val="nil"/>
              <w:left w:val="single" w:sz="6" w:space="0" w:color="auto"/>
              <w:bottom w:val="single" w:sz="6" w:space="0" w:color="auto"/>
              <w:right w:val="nil"/>
            </w:tcBorders>
            <w:shd w:val="clear" w:color="auto" w:fill="auto"/>
          </w:tcPr>
          <w:p w:rsidR="00542E00" w:rsidRPr="00AE0D77" w:rsidRDefault="00542E00" w:rsidP="00FC4D38">
            <w:pPr>
              <w:jc w:val="center"/>
              <w:rPr>
                <w:rFonts w:eastAsia="標楷體"/>
                <w:sz w:val="22"/>
              </w:rPr>
            </w:pPr>
            <w:r w:rsidRPr="00AE0D77">
              <w:rPr>
                <w:rFonts w:eastAsia="標楷體"/>
                <w:sz w:val="22"/>
              </w:rPr>
              <w:t>3.2</w:t>
            </w:r>
          </w:p>
        </w:tc>
      </w:tr>
    </w:tbl>
    <w:p w:rsidR="00280BBF" w:rsidRPr="00AE0D77" w:rsidRDefault="00280BBF" w:rsidP="00280BBF">
      <w:pPr>
        <w:rPr>
          <w:rFonts w:eastAsia="標楷體"/>
          <w:bCs/>
          <w:sz w:val="22"/>
          <w:lang w:val="zh-TW"/>
        </w:rPr>
      </w:pPr>
      <w:r w:rsidRPr="00AE0D77">
        <w:rPr>
          <w:rFonts w:eastAsia="標楷體"/>
          <w:bCs/>
          <w:sz w:val="22"/>
          <w:lang w:val="zh-TW"/>
        </w:rPr>
        <w:t>註：出口係轉口與港產品出口合計。</w:t>
      </w:r>
    </w:p>
    <w:p w:rsidR="00617A49" w:rsidRPr="00AE0D77" w:rsidRDefault="00280BBF" w:rsidP="00280BBF">
      <w:pPr>
        <w:tabs>
          <w:tab w:val="left" w:pos="6840"/>
        </w:tabs>
        <w:snapToGrid w:val="0"/>
        <w:ind w:right="440"/>
        <w:rPr>
          <w:rFonts w:eastAsia="標楷體"/>
          <w:b/>
          <w:szCs w:val="32"/>
          <w:lang w:val="zh-TW"/>
        </w:rPr>
      </w:pPr>
      <w:r w:rsidRPr="00AE0D77">
        <w:rPr>
          <w:rFonts w:eastAsia="標楷體"/>
          <w:bCs/>
          <w:sz w:val="22"/>
          <w:lang w:val="zh-TW"/>
        </w:rPr>
        <w:t>資料來源：香港政府統計處。</w:t>
      </w:r>
    </w:p>
    <w:p w:rsidR="00153EA4" w:rsidRPr="00AE0D77" w:rsidRDefault="00153EA4" w:rsidP="006D20BB">
      <w:pPr>
        <w:snapToGrid w:val="0"/>
        <w:ind w:right="880"/>
        <w:rPr>
          <w:rFonts w:eastAsia="標楷體"/>
          <w:b/>
          <w:bCs/>
          <w:sz w:val="40"/>
          <w:szCs w:val="36"/>
        </w:rPr>
      </w:pPr>
      <w:r w:rsidRPr="00AE0D77">
        <w:rPr>
          <w:rFonts w:eastAsia="標楷體"/>
          <w:b/>
          <w:bCs/>
          <w:sz w:val="40"/>
          <w:szCs w:val="36"/>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80" w:name="_Toc401923793"/>
      <w:bookmarkStart w:id="81" w:name="_Toc402171710"/>
      <w:bookmarkStart w:id="82" w:name="_Toc486347628"/>
      <w:r w:rsidRPr="00AE0D77">
        <w:rPr>
          <w:rFonts w:eastAsia="標楷體"/>
          <w:b/>
          <w:bCs/>
          <w:sz w:val="40"/>
          <w:szCs w:val="36"/>
        </w:rPr>
        <w:t>二、國內經濟</w:t>
      </w:r>
      <w:bookmarkEnd w:id="45"/>
      <w:bookmarkEnd w:id="46"/>
      <w:bookmarkEnd w:id="47"/>
      <w:bookmarkEnd w:id="80"/>
      <w:bookmarkEnd w:id="81"/>
      <w:bookmarkEnd w:id="82"/>
    </w:p>
    <w:p w:rsidR="003F3F99" w:rsidRPr="00AE0D77"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486347629"/>
      <w:r w:rsidRPr="00AE0D77">
        <w:rPr>
          <w:rFonts w:eastAsia="標楷體"/>
          <w:b/>
          <w:bCs/>
          <w:sz w:val="32"/>
          <w:szCs w:val="32"/>
        </w:rPr>
        <w:t>（一）總體情勢</w:t>
      </w:r>
      <w:bookmarkEnd w:id="83"/>
      <w:bookmarkEnd w:id="84"/>
      <w:bookmarkEnd w:id="85"/>
      <w:bookmarkEnd w:id="86"/>
      <w:bookmarkEnd w:id="87"/>
    </w:p>
    <w:p w:rsidR="003F3F99" w:rsidRPr="00AE0D77" w:rsidRDefault="003F3F99" w:rsidP="003F3F99">
      <w:pPr>
        <w:tabs>
          <w:tab w:val="left" w:pos="540"/>
        </w:tabs>
        <w:spacing w:afterLines="50" w:after="180" w:line="400" w:lineRule="exact"/>
        <w:rPr>
          <w:rFonts w:eastAsia="標楷體"/>
          <w:b/>
          <w:bCs/>
          <w:sz w:val="28"/>
          <w:szCs w:val="28"/>
        </w:rPr>
      </w:pPr>
      <w:bookmarkStart w:id="88" w:name="_Toc337122131"/>
      <w:r w:rsidRPr="00AE0D77">
        <w:rPr>
          <w:rFonts w:eastAsia="標楷體"/>
          <w:b/>
          <w:bCs/>
          <w:sz w:val="28"/>
          <w:szCs w:val="28"/>
        </w:rPr>
        <w:t>１、</w:t>
      </w:r>
      <w:r w:rsidR="006840B6" w:rsidRPr="00AE0D77">
        <w:rPr>
          <w:rFonts w:eastAsia="標楷體"/>
          <w:b/>
          <w:bCs/>
          <w:sz w:val="28"/>
          <w:szCs w:val="28"/>
        </w:rPr>
        <w:t>106</w:t>
      </w:r>
      <w:r w:rsidR="006840B6" w:rsidRPr="00AE0D77">
        <w:rPr>
          <w:rFonts w:eastAsia="標楷體"/>
          <w:b/>
          <w:bCs/>
          <w:sz w:val="28"/>
          <w:szCs w:val="28"/>
        </w:rPr>
        <w:t>年經濟成長率預估為</w:t>
      </w:r>
      <w:r w:rsidR="006840B6" w:rsidRPr="00AE0D77">
        <w:rPr>
          <w:rFonts w:eastAsia="標楷體"/>
          <w:b/>
          <w:bCs/>
          <w:sz w:val="28"/>
          <w:szCs w:val="28"/>
        </w:rPr>
        <w:t>2.05%</w:t>
      </w:r>
    </w:p>
    <w:p w:rsidR="00F67965" w:rsidRPr="00AE0D77" w:rsidRDefault="006840B6" w:rsidP="0001259C">
      <w:pPr>
        <w:widowControl/>
        <w:snapToGrid w:val="0"/>
        <w:spacing w:beforeLines="50" w:before="180" w:line="300" w:lineRule="auto"/>
        <w:ind w:rightChars="-59" w:right="-142" w:firstLineChars="202" w:firstLine="566"/>
        <w:jc w:val="both"/>
        <w:rPr>
          <w:rFonts w:eastAsia="標楷體"/>
          <w:sz w:val="28"/>
          <w:szCs w:val="28"/>
        </w:rPr>
      </w:pPr>
      <w:r w:rsidRPr="00AE0D77">
        <w:rPr>
          <w:rFonts w:eastAsia="標楷體"/>
          <w:sz w:val="28"/>
          <w:szCs w:val="28"/>
        </w:rPr>
        <w:t>隨全球經濟溫和成長，世界貿易量增速亦可望高於</w:t>
      </w:r>
      <w:r w:rsidRPr="00AE0D77">
        <w:rPr>
          <w:rFonts w:eastAsia="標楷體"/>
          <w:sz w:val="28"/>
          <w:szCs w:val="28"/>
        </w:rPr>
        <w:t>105</w:t>
      </w:r>
      <w:r w:rsidRPr="00AE0D77">
        <w:rPr>
          <w:rFonts w:eastAsia="標楷體"/>
          <w:sz w:val="28"/>
          <w:szCs w:val="28"/>
        </w:rPr>
        <w:t>年，驅動外需增溫，加上政府提振景氣措施，可望逐步帶動內需回溫；受國際油價及原物料價格回升，加以勞動新制政策上路，牽動國內物價走勢。行政院主計總處預測</w:t>
      </w:r>
      <w:r w:rsidRPr="00AE0D77">
        <w:rPr>
          <w:rFonts w:eastAsia="標楷體"/>
          <w:sz w:val="28"/>
          <w:szCs w:val="28"/>
        </w:rPr>
        <w:t>106</w:t>
      </w:r>
      <w:r w:rsidRPr="00AE0D77">
        <w:rPr>
          <w:rFonts w:eastAsia="標楷體"/>
          <w:sz w:val="28"/>
          <w:szCs w:val="28"/>
        </w:rPr>
        <w:t>年經濟成長</w:t>
      </w:r>
      <w:r w:rsidRPr="00AE0D77">
        <w:rPr>
          <w:rFonts w:eastAsia="標楷體"/>
          <w:sz w:val="28"/>
          <w:szCs w:val="28"/>
        </w:rPr>
        <w:t>2.05%</w:t>
      </w:r>
      <w:r w:rsidRPr="00AE0D77">
        <w:rPr>
          <w:rFonts w:eastAsia="標楷體"/>
          <w:sz w:val="28"/>
          <w:szCs w:val="28"/>
        </w:rPr>
        <w:t>，消費者物價上漲</w:t>
      </w:r>
      <w:r w:rsidRPr="00AE0D77">
        <w:rPr>
          <w:rFonts w:eastAsia="標楷體"/>
          <w:sz w:val="28"/>
          <w:szCs w:val="28"/>
        </w:rPr>
        <w:t>0.95%</w:t>
      </w:r>
      <w:r w:rsidRPr="00AE0D77">
        <w:rPr>
          <w:rFonts w:eastAsia="標楷體"/>
          <w:sz w:val="28"/>
          <w:szCs w:val="28"/>
        </w:rPr>
        <w:t>。</w:t>
      </w:r>
    </w:p>
    <w:p w:rsidR="00F67965" w:rsidRPr="00AE0D77" w:rsidRDefault="00F67965" w:rsidP="00F67965">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F67965" w:rsidRPr="00AE0D77" w:rsidRDefault="00F67965" w:rsidP="004770CC">
      <w:pPr>
        <w:spacing w:line="400" w:lineRule="exact"/>
        <w:ind w:rightChars="649" w:right="1558"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5347"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2126"/>
      </w:tblGrid>
      <w:tr w:rsidR="006840B6" w:rsidRPr="00AE0D77" w:rsidTr="004770CC">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6840B6" w:rsidRPr="00AE0D77" w:rsidRDefault="006840B6" w:rsidP="0074591B">
            <w:pPr>
              <w:widowControl/>
              <w:snapToGrid w:val="0"/>
              <w:spacing w:line="220" w:lineRule="exact"/>
              <w:ind w:left="28"/>
              <w:jc w:val="right"/>
              <w:rPr>
                <w:rFonts w:eastAsia="標楷體"/>
                <w:kern w:val="0"/>
              </w:rPr>
            </w:pPr>
            <w:r w:rsidRPr="00AE0D77">
              <w:rPr>
                <w:rFonts w:eastAsia="標楷體"/>
                <w:kern w:val="0"/>
              </w:rPr>
              <w:t>年</w:t>
            </w:r>
          </w:p>
          <w:p w:rsidR="006840B6" w:rsidRPr="00AE0D77" w:rsidRDefault="006840B6" w:rsidP="0074591B">
            <w:pPr>
              <w:widowControl/>
              <w:snapToGrid w:val="0"/>
              <w:spacing w:line="220" w:lineRule="exact"/>
              <w:ind w:left="640" w:hanging="640"/>
              <w:rPr>
                <w:rFonts w:eastAsia="標楷體"/>
                <w:kern w:val="0"/>
              </w:rPr>
            </w:pPr>
            <w:r w:rsidRPr="00AE0D77">
              <w:rPr>
                <w:rFonts w:eastAsia="標楷體"/>
                <w:kern w:val="0"/>
              </w:rPr>
              <w:t>預測機構</w:t>
            </w:r>
          </w:p>
        </w:tc>
        <w:tc>
          <w:tcPr>
            <w:tcW w:w="2126" w:type="dxa"/>
            <w:tcBorders>
              <w:bottom w:val="single" w:sz="4" w:space="0" w:color="auto"/>
            </w:tcBorders>
            <w:vAlign w:val="center"/>
          </w:tcPr>
          <w:p w:rsidR="006840B6" w:rsidRPr="00AE0D77" w:rsidRDefault="006840B6" w:rsidP="0074591B">
            <w:pPr>
              <w:widowControl/>
              <w:snapToGrid w:val="0"/>
              <w:spacing w:line="220" w:lineRule="exact"/>
              <w:ind w:left="640" w:hanging="640"/>
              <w:jc w:val="center"/>
              <w:rPr>
                <w:rFonts w:eastAsia="標楷體"/>
                <w:kern w:val="0"/>
              </w:rPr>
            </w:pPr>
            <w:r w:rsidRPr="00AE0D77">
              <w:rPr>
                <w:rFonts w:eastAsia="標楷體"/>
                <w:kern w:val="0"/>
              </w:rPr>
              <w:t>106</w:t>
            </w:r>
            <w:r w:rsidRPr="00AE0D77">
              <w:rPr>
                <w:rFonts w:eastAsia="標楷體"/>
                <w:kern w:val="0"/>
              </w:rPr>
              <w:t>年</w:t>
            </w:r>
          </w:p>
        </w:tc>
      </w:tr>
      <w:tr w:rsidR="006840B6" w:rsidRPr="00AE0D77" w:rsidTr="004770CC">
        <w:trPr>
          <w:trHeight w:val="285"/>
          <w:jc w:val="center"/>
        </w:trPr>
        <w:tc>
          <w:tcPr>
            <w:tcW w:w="394" w:type="dxa"/>
            <w:vMerge w:val="restart"/>
            <w:tcBorders>
              <w:top w:val="single" w:sz="4" w:space="0" w:color="auto"/>
              <w:left w:val="single" w:sz="4" w:space="0" w:color="auto"/>
              <w:right w:val="single" w:sz="4" w:space="0" w:color="auto"/>
            </w:tcBorders>
            <w:vAlign w:val="center"/>
          </w:tcPr>
          <w:p w:rsidR="006840B6" w:rsidRPr="00AE0D77" w:rsidRDefault="006840B6" w:rsidP="0074591B">
            <w:pPr>
              <w:spacing w:line="340" w:lineRule="exact"/>
              <w:jc w:val="center"/>
              <w:rPr>
                <w:rFonts w:eastAsia="標楷體"/>
              </w:rPr>
            </w:pPr>
            <w:r w:rsidRPr="00AE0D77">
              <w:rPr>
                <w:rFonts w:eastAsia="標楷體"/>
              </w:rPr>
              <w:t>國際</w:t>
            </w:r>
          </w:p>
        </w:tc>
        <w:tc>
          <w:tcPr>
            <w:tcW w:w="2827" w:type="dxa"/>
            <w:tcBorders>
              <w:top w:val="single" w:sz="4" w:space="0" w:color="auto"/>
              <w:left w:val="single" w:sz="4" w:space="0" w:color="auto"/>
              <w:right w:val="single" w:sz="4" w:space="0" w:color="auto"/>
            </w:tcBorders>
            <w:vAlign w:val="center"/>
          </w:tcPr>
          <w:p w:rsidR="006840B6" w:rsidRPr="00AE0D77" w:rsidRDefault="006840B6" w:rsidP="0074591B">
            <w:pPr>
              <w:spacing w:line="340" w:lineRule="exact"/>
              <w:rPr>
                <w:rFonts w:eastAsia="標楷體"/>
              </w:rPr>
            </w:pPr>
            <w:r w:rsidRPr="00AE0D77">
              <w:rPr>
                <w:rFonts w:eastAsia="標楷體"/>
              </w:rPr>
              <w:t>Global Insight(106.6)</w:t>
            </w:r>
          </w:p>
        </w:tc>
        <w:tc>
          <w:tcPr>
            <w:tcW w:w="2126" w:type="dxa"/>
            <w:tcBorders>
              <w:top w:val="single" w:sz="4" w:space="0" w:color="auto"/>
              <w:left w:val="single" w:sz="4" w:space="0" w:color="auto"/>
              <w:right w:val="single" w:sz="4" w:space="0" w:color="auto"/>
            </w:tcBorders>
          </w:tcPr>
          <w:p w:rsidR="006840B6" w:rsidRPr="00AE0D77" w:rsidRDefault="006840B6" w:rsidP="0074591B">
            <w:pPr>
              <w:spacing w:line="340" w:lineRule="exact"/>
              <w:jc w:val="center"/>
              <w:rPr>
                <w:rFonts w:eastAsia="標楷體"/>
              </w:rPr>
            </w:pPr>
            <w:r w:rsidRPr="00AE0D77">
              <w:rPr>
                <w:rFonts w:eastAsia="標楷體"/>
              </w:rPr>
              <w:t>2.1</w:t>
            </w:r>
          </w:p>
        </w:tc>
      </w:tr>
      <w:tr w:rsidR="006840B6" w:rsidRPr="00AE0D77" w:rsidTr="004770CC">
        <w:trPr>
          <w:trHeight w:val="241"/>
          <w:jc w:val="center"/>
        </w:trPr>
        <w:tc>
          <w:tcPr>
            <w:tcW w:w="394" w:type="dxa"/>
            <w:vMerge/>
            <w:tcBorders>
              <w:left w:val="single" w:sz="4" w:space="0" w:color="auto"/>
              <w:right w:val="single" w:sz="4" w:space="0" w:color="auto"/>
            </w:tcBorders>
            <w:vAlign w:val="center"/>
          </w:tcPr>
          <w:p w:rsidR="006840B6" w:rsidRPr="00AE0D77" w:rsidRDefault="006840B6" w:rsidP="0074591B">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vAlign w:val="center"/>
          </w:tcPr>
          <w:p w:rsidR="006840B6" w:rsidRPr="00AE0D77" w:rsidRDefault="006840B6" w:rsidP="0074591B">
            <w:pPr>
              <w:spacing w:line="340" w:lineRule="exact"/>
              <w:rPr>
                <w:rFonts w:eastAsia="標楷體"/>
              </w:rPr>
            </w:pPr>
            <w:r w:rsidRPr="00AE0D77">
              <w:rPr>
                <w:rFonts w:eastAsia="標楷體"/>
              </w:rPr>
              <w:t>ADB(</w:t>
            </w:r>
            <w:r w:rsidRPr="00AE0D77">
              <w:rPr>
                <w:rFonts w:eastAsia="標楷體"/>
                <w:kern w:val="0"/>
              </w:rPr>
              <w:t>106</w:t>
            </w:r>
            <w:r w:rsidRPr="00AE0D77">
              <w:rPr>
                <w:rFonts w:eastAsia="標楷體"/>
              </w:rPr>
              <w:t>.4)</w:t>
            </w:r>
          </w:p>
        </w:tc>
        <w:tc>
          <w:tcPr>
            <w:tcW w:w="2126" w:type="dxa"/>
            <w:tcBorders>
              <w:top w:val="single" w:sz="4" w:space="0" w:color="auto"/>
              <w:left w:val="single" w:sz="4" w:space="0" w:color="auto"/>
              <w:bottom w:val="single" w:sz="4" w:space="0" w:color="auto"/>
              <w:right w:val="single" w:sz="4" w:space="0" w:color="auto"/>
            </w:tcBorders>
          </w:tcPr>
          <w:p w:rsidR="006840B6" w:rsidRPr="00AE0D77" w:rsidRDefault="006840B6" w:rsidP="0074591B">
            <w:pPr>
              <w:spacing w:line="340" w:lineRule="exact"/>
              <w:jc w:val="center"/>
              <w:rPr>
                <w:rFonts w:eastAsia="標楷體"/>
              </w:rPr>
            </w:pPr>
            <w:r w:rsidRPr="00AE0D77">
              <w:rPr>
                <w:rFonts w:eastAsia="標楷體"/>
              </w:rPr>
              <w:t>1.8</w:t>
            </w:r>
          </w:p>
        </w:tc>
      </w:tr>
      <w:tr w:rsidR="006840B6" w:rsidRPr="00AE0D77" w:rsidTr="004770CC">
        <w:trPr>
          <w:trHeight w:val="241"/>
          <w:jc w:val="center"/>
        </w:trPr>
        <w:tc>
          <w:tcPr>
            <w:tcW w:w="394" w:type="dxa"/>
            <w:vMerge/>
            <w:tcBorders>
              <w:left w:val="single" w:sz="4" w:space="0" w:color="auto"/>
              <w:bottom w:val="double" w:sz="4" w:space="0" w:color="auto"/>
              <w:right w:val="single" w:sz="4" w:space="0" w:color="auto"/>
            </w:tcBorders>
            <w:vAlign w:val="center"/>
          </w:tcPr>
          <w:p w:rsidR="006840B6" w:rsidRPr="00AE0D77" w:rsidRDefault="006840B6" w:rsidP="0074591B">
            <w:pPr>
              <w:spacing w:line="340" w:lineRule="exact"/>
              <w:rPr>
                <w:rFonts w:eastAsia="標楷體"/>
              </w:rPr>
            </w:pPr>
          </w:p>
        </w:tc>
        <w:tc>
          <w:tcPr>
            <w:tcW w:w="2827" w:type="dxa"/>
            <w:tcBorders>
              <w:top w:val="single" w:sz="4" w:space="0" w:color="auto"/>
              <w:left w:val="single" w:sz="4" w:space="0" w:color="auto"/>
              <w:bottom w:val="double" w:sz="4" w:space="0" w:color="auto"/>
              <w:right w:val="single" w:sz="4" w:space="0" w:color="auto"/>
            </w:tcBorders>
            <w:vAlign w:val="center"/>
          </w:tcPr>
          <w:p w:rsidR="006840B6" w:rsidRPr="00AE0D77" w:rsidRDefault="006840B6" w:rsidP="0074591B">
            <w:pPr>
              <w:spacing w:line="340" w:lineRule="exact"/>
              <w:rPr>
                <w:rFonts w:eastAsia="標楷體"/>
              </w:rPr>
            </w:pPr>
            <w:r w:rsidRPr="00AE0D77">
              <w:rPr>
                <w:rFonts w:eastAsia="標楷體"/>
              </w:rPr>
              <w:t>IMF(</w:t>
            </w:r>
            <w:r w:rsidRPr="00AE0D77">
              <w:rPr>
                <w:rFonts w:eastAsia="標楷體"/>
                <w:kern w:val="0"/>
              </w:rPr>
              <w:t>106</w:t>
            </w:r>
            <w:r w:rsidRPr="00AE0D77">
              <w:rPr>
                <w:rFonts w:eastAsia="標楷體"/>
              </w:rPr>
              <w:t>.4)</w:t>
            </w:r>
          </w:p>
        </w:tc>
        <w:tc>
          <w:tcPr>
            <w:tcW w:w="2126" w:type="dxa"/>
            <w:tcBorders>
              <w:top w:val="single" w:sz="4" w:space="0" w:color="auto"/>
              <w:left w:val="single" w:sz="4" w:space="0" w:color="auto"/>
              <w:bottom w:val="double" w:sz="4" w:space="0" w:color="auto"/>
              <w:right w:val="single" w:sz="4" w:space="0" w:color="auto"/>
            </w:tcBorders>
          </w:tcPr>
          <w:p w:rsidR="006840B6" w:rsidRPr="00AE0D77" w:rsidRDefault="006840B6" w:rsidP="0074591B">
            <w:pPr>
              <w:spacing w:line="340" w:lineRule="exact"/>
              <w:jc w:val="center"/>
              <w:rPr>
                <w:rFonts w:eastAsia="標楷體"/>
              </w:rPr>
            </w:pPr>
            <w:r w:rsidRPr="00AE0D77">
              <w:rPr>
                <w:rFonts w:eastAsia="標楷體"/>
              </w:rPr>
              <w:t>1.7</w:t>
            </w:r>
          </w:p>
        </w:tc>
      </w:tr>
      <w:tr w:rsidR="006840B6" w:rsidRPr="00AE0D77" w:rsidTr="004770CC">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6840B6" w:rsidRPr="00AE0D77" w:rsidRDefault="006840B6" w:rsidP="0074591B">
            <w:pPr>
              <w:tabs>
                <w:tab w:val="left" w:pos="0"/>
              </w:tabs>
              <w:adjustRightInd w:val="0"/>
              <w:snapToGrid w:val="0"/>
              <w:spacing w:line="340" w:lineRule="exact"/>
              <w:jc w:val="center"/>
              <w:rPr>
                <w:rFonts w:eastAsia="標楷體"/>
              </w:rPr>
            </w:pPr>
            <w:r w:rsidRPr="00AE0D77">
              <w:rPr>
                <w:rFonts w:eastAsia="標楷體"/>
              </w:rPr>
              <w:t>國內</w:t>
            </w:r>
          </w:p>
        </w:tc>
        <w:tc>
          <w:tcPr>
            <w:tcW w:w="28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6840B6" w:rsidRPr="00AE0D77" w:rsidRDefault="006840B6" w:rsidP="0074591B">
            <w:pPr>
              <w:spacing w:line="340" w:lineRule="exact"/>
              <w:rPr>
                <w:rFonts w:eastAsia="標楷體"/>
              </w:rPr>
            </w:pPr>
            <w:r w:rsidRPr="00AE0D77">
              <w:rPr>
                <w:rFonts w:eastAsia="標楷體"/>
              </w:rPr>
              <w:t>臺灣綜合研究院</w:t>
            </w:r>
            <w:r w:rsidRPr="00AE0D77">
              <w:rPr>
                <w:rFonts w:eastAsia="標楷體"/>
              </w:rPr>
              <w:t>(</w:t>
            </w:r>
            <w:r w:rsidRPr="00AE0D77">
              <w:rPr>
                <w:rFonts w:eastAsia="標楷體"/>
                <w:kern w:val="0"/>
              </w:rPr>
              <w:t>106</w:t>
            </w:r>
            <w:r w:rsidRPr="00AE0D77">
              <w:rPr>
                <w:rFonts w:eastAsia="標楷體"/>
              </w:rPr>
              <w:t>.6)</w:t>
            </w:r>
          </w:p>
        </w:tc>
        <w:tc>
          <w:tcPr>
            <w:tcW w:w="2126" w:type="dxa"/>
            <w:tcBorders>
              <w:top w:val="double" w:sz="4" w:space="0" w:color="auto"/>
              <w:left w:val="single" w:sz="4" w:space="0" w:color="auto"/>
              <w:bottom w:val="single" w:sz="4" w:space="0" w:color="auto"/>
              <w:right w:val="single" w:sz="4" w:space="0" w:color="auto"/>
            </w:tcBorders>
            <w:shd w:val="clear" w:color="auto" w:fill="FFFFFF" w:themeFill="background1"/>
          </w:tcPr>
          <w:p w:rsidR="006840B6" w:rsidRPr="00AE0D77" w:rsidRDefault="006840B6" w:rsidP="0074591B">
            <w:pPr>
              <w:spacing w:line="340" w:lineRule="exact"/>
              <w:jc w:val="center"/>
              <w:rPr>
                <w:rFonts w:eastAsia="標楷體"/>
              </w:rPr>
            </w:pPr>
            <w:r w:rsidRPr="00AE0D77">
              <w:rPr>
                <w:rFonts w:eastAsia="標楷體"/>
              </w:rPr>
              <w:t>2.01</w:t>
            </w:r>
          </w:p>
        </w:tc>
      </w:tr>
      <w:tr w:rsidR="006840B6" w:rsidRPr="00AE0D77" w:rsidTr="004770CC">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6840B6" w:rsidRPr="00AE0D77" w:rsidRDefault="006840B6" w:rsidP="0074591B">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40B6" w:rsidRPr="00AE0D77" w:rsidRDefault="006840B6" w:rsidP="0074591B">
            <w:pPr>
              <w:tabs>
                <w:tab w:val="left" w:pos="0"/>
              </w:tabs>
              <w:adjustRightInd w:val="0"/>
              <w:snapToGrid w:val="0"/>
              <w:spacing w:line="340" w:lineRule="exact"/>
              <w:rPr>
                <w:rFonts w:eastAsia="標楷體"/>
              </w:rPr>
            </w:pPr>
            <w:r w:rsidRPr="00AE0D77">
              <w:rPr>
                <w:rFonts w:eastAsia="標楷體"/>
              </w:rPr>
              <w:t>行政院主計總處</w:t>
            </w:r>
            <w:r w:rsidRPr="00AE0D77">
              <w:rPr>
                <w:rFonts w:eastAsia="標楷體"/>
              </w:rPr>
              <w:t>(</w:t>
            </w:r>
            <w:r w:rsidRPr="00AE0D77">
              <w:rPr>
                <w:rFonts w:eastAsia="標楷體"/>
                <w:kern w:val="0"/>
              </w:rPr>
              <w:t>106</w:t>
            </w:r>
            <w:r w:rsidRPr="00AE0D77">
              <w:rPr>
                <w:rFonts w:eastAsia="標楷體"/>
              </w:rPr>
              <w:t>.5)</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40B6" w:rsidRPr="00AE0D77" w:rsidRDefault="006840B6" w:rsidP="0074591B">
            <w:pPr>
              <w:spacing w:line="340" w:lineRule="exact"/>
              <w:jc w:val="center"/>
              <w:rPr>
                <w:rFonts w:eastAsia="標楷體"/>
              </w:rPr>
            </w:pPr>
            <w:r w:rsidRPr="00AE0D77">
              <w:rPr>
                <w:rFonts w:eastAsia="標楷體"/>
              </w:rPr>
              <w:t>2.05</w:t>
            </w:r>
          </w:p>
        </w:tc>
      </w:tr>
      <w:tr w:rsidR="006840B6" w:rsidRPr="00AE0D77" w:rsidTr="004770CC">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6840B6" w:rsidRPr="00AE0D77" w:rsidRDefault="006840B6" w:rsidP="0074591B">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40B6" w:rsidRPr="00AE0D77" w:rsidRDefault="006840B6" w:rsidP="0074591B">
            <w:pPr>
              <w:tabs>
                <w:tab w:val="left" w:pos="0"/>
              </w:tabs>
              <w:adjustRightInd w:val="0"/>
              <w:snapToGrid w:val="0"/>
              <w:spacing w:line="340" w:lineRule="exact"/>
              <w:rPr>
                <w:rFonts w:eastAsia="標楷體"/>
              </w:rPr>
            </w:pPr>
            <w:r w:rsidRPr="00AE0D77">
              <w:rPr>
                <w:rFonts w:eastAsia="標楷體"/>
              </w:rPr>
              <w:t>中華經濟研究院</w:t>
            </w:r>
            <w:r w:rsidRPr="00AE0D77">
              <w:rPr>
                <w:rFonts w:eastAsia="標楷體"/>
              </w:rPr>
              <w:t>(</w:t>
            </w:r>
            <w:r w:rsidRPr="00AE0D77">
              <w:rPr>
                <w:rFonts w:eastAsia="標楷體"/>
                <w:kern w:val="0"/>
              </w:rPr>
              <w:t>106</w:t>
            </w:r>
            <w:r w:rsidRPr="00AE0D77">
              <w:rPr>
                <w:rFonts w:eastAsia="標楷體"/>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6840B6" w:rsidRPr="00AE0D77" w:rsidRDefault="006840B6" w:rsidP="0074591B">
            <w:pPr>
              <w:spacing w:line="340" w:lineRule="exact"/>
              <w:jc w:val="center"/>
              <w:rPr>
                <w:rFonts w:eastAsia="標楷體"/>
              </w:rPr>
            </w:pPr>
            <w:r w:rsidRPr="00AE0D77">
              <w:rPr>
                <w:rFonts w:eastAsia="標楷體"/>
              </w:rPr>
              <w:t>2.11</w:t>
            </w:r>
          </w:p>
        </w:tc>
      </w:tr>
      <w:tr w:rsidR="006840B6" w:rsidRPr="00AE0D77" w:rsidTr="004770CC">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6840B6" w:rsidRPr="00AE0D77" w:rsidRDefault="006840B6" w:rsidP="0074591B">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vAlign w:val="center"/>
          </w:tcPr>
          <w:p w:rsidR="006840B6" w:rsidRPr="00AE0D77" w:rsidRDefault="006840B6" w:rsidP="0074591B">
            <w:pPr>
              <w:tabs>
                <w:tab w:val="left" w:pos="0"/>
              </w:tabs>
              <w:adjustRightInd w:val="0"/>
              <w:snapToGrid w:val="0"/>
              <w:spacing w:line="340" w:lineRule="exact"/>
              <w:rPr>
                <w:rFonts w:eastAsia="標楷體"/>
              </w:rPr>
            </w:pPr>
            <w:r w:rsidRPr="00AE0D77">
              <w:rPr>
                <w:rFonts w:eastAsia="標楷體"/>
              </w:rPr>
              <w:t>台灣經濟研究院</w:t>
            </w:r>
            <w:r w:rsidRPr="00AE0D77">
              <w:rPr>
                <w:rFonts w:eastAsia="標楷體"/>
              </w:rPr>
              <w:t>(</w:t>
            </w:r>
            <w:r w:rsidRPr="00AE0D77">
              <w:rPr>
                <w:rFonts w:eastAsia="標楷體"/>
                <w:kern w:val="0"/>
              </w:rPr>
              <w:t>106</w:t>
            </w:r>
            <w:r w:rsidRPr="00AE0D77">
              <w:rPr>
                <w:rFonts w:eastAsia="標楷體"/>
              </w:rPr>
              <w:t>.4)</w:t>
            </w:r>
          </w:p>
        </w:tc>
        <w:tc>
          <w:tcPr>
            <w:tcW w:w="2126" w:type="dxa"/>
            <w:tcBorders>
              <w:top w:val="single" w:sz="4" w:space="0" w:color="auto"/>
              <w:left w:val="single" w:sz="4" w:space="0" w:color="auto"/>
              <w:bottom w:val="single" w:sz="4" w:space="0" w:color="auto"/>
              <w:right w:val="single" w:sz="4" w:space="0" w:color="auto"/>
            </w:tcBorders>
          </w:tcPr>
          <w:p w:rsidR="006840B6" w:rsidRPr="00AE0D77" w:rsidRDefault="006840B6" w:rsidP="0074591B">
            <w:pPr>
              <w:spacing w:line="340" w:lineRule="exact"/>
              <w:jc w:val="center"/>
              <w:rPr>
                <w:rFonts w:eastAsia="標楷體"/>
              </w:rPr>
            </w:pPr>
            <w:r w:rsidRPr="00AE0D77">
              <w:rPr>
                <w:rFonts w:eastAsia="標楷體"/>
              </w:rPr>
              <w:t>2.04</w:t>
            </w:r>
          </w:p>
        </w:tc>
      </w:tr>
      <w:tr w:rsidR="006840B6" w:rsidRPr="00AE0D77" w:rsidTr="004770CC">
        <w:trPr>
          <w:trHeight w:val="241"/>
          <w:jc w:val="center"/>
        </w:trPr>
        <w:tc>
          <w:tcPr>
            <w:tcW w:w="394" w:type="dxa"/>
            <w:vMerge/>
            <w:tcBorders>
              <w:left w:val="single" w:sz="4" w:space="0" w:color="auto"/>
              <w:right w:val="single" w:sz="4" w:space="0" w:color="auto"/>
            </w:tcBorders>
            <w:shd w:val="clear" w:color="auto" w:fill="FFFFFF" w:themeFill="background1"/>
          </w:tcPr>
          <w:p w:rsidR="006840B6" w:rsidRPr="00AE0D77" w:rsidRDefault="006840B6" w:rsidP="0074591B">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vAlign w:val="center"/>
          </w:tcPr>
          <w:p w:rsidR="006840B6" w:rsidRPr="00AE0D77" w:rsidRDefault="006840B6" w:rsidP="0074591B">
            <w:pPr>
              <w:tabs>
                <w:tab w:val="left" w:pos="0"/>
              </w:tabs>
              <w:adjustRightInd w:val="0"/>
              <w:snapToGrid w:val="0"/>
              <w:spacing w:line="340" w:lineRule="exact"/>
              <w:rPr>
                <w:rFonts w:eastAsia="標楷體"/>
              </w:rPr>
            </w:pPr>
            <w:r w:rsidRPr="00AE0D77">
              <w:rPr>
                <w:rFonts w:eastAsia="標楷體"/>
              </w:rPr>
              <w:t>中央研究院</w:t>
            </w:r>
            <w:r w:rsidRPr="00AE0D77">
              <w:rPr>
                <w:rFonts w:eastAsia="標楷體"/>
              </w:rPr>
              <w:t>(</w:t>
            </w:r>
            <w:r w:rsidRPr="00AE0D77">
              <w:rPr>
                <w:rFonts w:eastAsia="標楷體"/>
                <w:kern w:val="0"/>
              </w:rPr>
              <w:t>105</w:t>
            </w:r>
            <w:r w:rsidRPr="00AE0D77">
              <w:rPr>
                <w:rFonts w:eastAsia="標楷體"/>
              </w:rPr>
              <w:t>.12)</w:t>
            </w:r>
          </w:p>
        </w:tc>
        <w:tc>
          <w:tcPr>
            <w:tcW w:w="2126" w:type="dxa"/>
            <w:tcBorders>
              <w:top w:val="single" w:sz="4" w:space="0" w:color="auto"/>
              <w:left w:val="single" w:sz="4" w:space="0" w:color="auto"/>
              <w:bottom w:val="single" w:sz="4" w:space="0" w:color="auto"/>
              <w:right w:val="single" w:sz="4" w:space="0" w:color="auto"/>
            </w:tcBorders>
          </w:tcPr>
          <w:p w:rsidR="006840B6" w:rsidRPr="00AE0D77" w:rsidRDefault="006840B6" w:rsidP="0074591B">
            <w:pPr>
              <w:spacing w:line="340" w:lineRule="exact"/>
              <w:jc w:val="center"/>
              <w:rPr>
                <w:rFonts w:eastAsia="標楷體"/>
              </w:rPr>
            </w:pPr>
            <w:r w:rsidRPr="00AE0D77">
              <w:rPr>
                <w:rFonts w:eastAsia="標楷體"/>
              </w:rPr>
              <w:t>1.68</w:t>
            </w:r>
          </w:p>
        </w:tc>
      </w:tr>
    </w:tbl>
    <w:p w:rsidR="00F67965" w:rsidRPr="00AE0D77" w:rsidRDefault="00F67965" w:rsidP="004770CC">
      <w:pPr>
        <w:widowControl/>
        <w:snapToGrid w:val="0"/>
        <w:spacing w:line="260" w:lineRule="exact"/>
        <w:ind w:leftChars="177" w:left="425" w:firstLineChars="515" w:firstLine="1133"/>
        <w:jc w:val="both"/>
        <w:rPr>
          <w:rFonts w:eastAsia="標楷體"/>
          <w:kern w:val="0"/>
        </w:rPr>
      </w:pPr>
      <w:r w:rsidRPr="00AE0D77">
        <w:rPr>
          <w:rFonts w:eastAsia="標楷體"/>
          <w:kern w:val="0"/>
          <w:sz w:val="22"/>
          <w:szCs w:val="22"/>
        </w:rPr>
        <w:t>資料來源：各機構。</w:t>
      </w:r>
    </w:p>
    <w:p w:rsidR="00F67965" w:rsidRPr="00AE0D77" w:rsidRDefault="00F67965" w:rsidP="00D47A74">
      <w:pPr>
        <w:spacing w:beforeLines="100" w:before="360"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sidR="006840B6" w:rsidRPr="00AE0D77">
        <w:rPr>
          <w:rFonts w:eastAsia="標楷體"/>
          <w:b/>
          <w:sz w:val="28"/>
          <w:szCs w:val="28"/>
          <w:lang w:val="zh-TW"/>
        </w:rPr>
        <w:t>5</w:t>
      </w:r>
      <w:r w:rsidRPr="00AE0D77">
        <w:rPr>
          <w:rFonts w:eastAsia="標楷體"/>
          <w:b/>
          <w:sz w:val="28"/>
          <w:szCs w:val="28"/>
          <w:lang w:val="zh-TW"/>
        </w:rPr>
        <w:t>及</w:t>
      </w:r>
      <w:r w:rsidRPr="00AE0D77">
        <w:rPr>
          <w:rFonts w:eastAsia="標楷體"/>
          <w:b/>
          <w:sz w:val="28"/>
          <w:szCs w:val="28"/>
          <w:lang w:val="zh-TW"/>
        </w:rPr>
        <w:t>10</w:t>
      </w:r>
      <w:r w:rsidR="006840B6" w:rsidRPr="00AE0D77">
        <w:rPr>
          <w:rFonts w:eastAsia="標楷體"/>
          <w:b/>
          <w:sz w:val="28"/>
          <w:szCs w:val="28"/>
          <w:lang w:val="zh-TW"/>
        </w:rPr>
        <w:t>6</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6840B6" w:rsidRPr="00AE0D77" w:rsidTr="0074591B">
        <w:trPr>
          <w:cantSplit/>
          <w:jc w:val="center"/>
        </w:trPr>
        <w:tc>
          <w:tcPr>
            <w:tcW w:w="2581" w:type="dxa"/>
            <w:tcBorders>
              <w:top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142"/>
              <w:jc w:val="center"/>
              <w:rPr>
                <w:rFonts w:eastAsia="標楷體"/>
                <w:kern w:val="0"/>
                <w:szCs w:val="20"/>
              </w:rPr>
            </w:pPr>
            <w:r w:rsidRPr="00AE0D77">
              <w:rPr>
                <w:rFonts w:eastAsia="標楷體"/>
                <w:kern w:val="0"/>
                <w:szCs w:val="20"/>
              </w:rPr>
              <w:t>105</w:t>
            </w:r>
            <w:r w:rsidRPr="00AE0D77">
              <w:rPr>
                <w:rFonts w:eastAsia="標楷體"/>
                <w:kern w:val="0"/>
                <w:szCs w:val="20"/>
              </w:rPr>
              <w:t>年</w:t>
            </w:r>
          </w:p>
        </w:tc>
        <w:tc>
          <w:tcPr>
            <w:tcW w:w="3037" w:type="dxa"/>
            <w:gridSpan w:val="2"/>
            <w:tcBorders>
              <w:top w:val="single" w:sz="6" w:space="0" w:color="auto"/>
              <w:bottom w:val="single" w:sz="6" w:space="0" w:color="auto"/>
            </w:tcBorders>
            <w:vAlign w:val="center"/>
          </w:tcPr>
          <w:p w:rsidR="006840B6" w:rsidRPr="00AE0D77" w:rsidRDefault="006840B6" w:rsidP="0074591B">
            <w:pPr>
              <w:widowControl/>
              <w:adjustRightInd w:val="0"/>
              <w:snapToGrid w:val="0"/>
              <w:ind w:right="-142"/>
              <w:jc w:val="center"/>
              <w:rPr>
                <w:rFonts w:eastAsia="標楷體"/>
                <w:kern w:val="0"/>
                <w:szCs w:val="20"/>
              </w:rPr>
            </w:pPr>
            <w:r w:rsidRPr="00AE0D77">
              <w:rPr>
                <w:rFonts w:eastAsia="標楷體"/>
                <w:kern w:val="0"/>
                <w:szCs w:val="20"/>
              </w:rPr>
              <w:t>106</w:t>
            </w:r>
            <w:r w:rsidRPr="00AE0D77">
              <w:rPr>
                <w:rFonts w:eastAsia="標楷體"/>
                <w:kern w:val="0"/>
                <w:szCs w:val="20"/>
              </w:rPr>
              <w:t>年</w:t>
            </w:r>
          </w:p>
        </w:tc>
      </w:tr>
      <w:tr w:rsidR="006840B6" w:rsidRPr="00AE0D77" w:rsidTr="0074591B">
        <w:trPr>
          <w:cantSplit/>
          <w:jc w:val="center"/>
        </w:trPr>
        <w:tc>
          <w:tcPr>
            <w:tcW w:w="2581" w:type="dxa"/>
            <w:tcBorders>
              <w:bottom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6840B6" w:rsidRPr="00AE0D77" w:rsidTr="0074591B">
        <w:trPr>
          <w:cantSplit/>
          <w:trHeight w:val="65"/>
          <w:jc w:val="center"/>
        </w:trPr>
        <w:tc>
          <w:tcPr>
            <w:tcW w:w="2581" w:type="dxa"/>
            <w:tcBorders>
              <w:top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GDP</w:t>
            </w:r>
          </w:p>
        </w:tc>
        <w:tc>
          <w:tcPr>
            <w:tcW w:w="1555" w:type="dxa"/>
            <w:tcBorders>
              <w:top w:val="single" w:sz="6" w:space="0" w:color="auto"/>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1.48</w:t>
            </w:r>
          </w:p>
        </w:tc>
        <w:tc>
          <w:tcPr>
            <w:tcW w:w="1476" w:type="dxa"/>
            <w:tcBorders>
              <w:top w:val="single" w:sz="6" w:space="0" w:color="auto"/>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1.48</w:t>
            </w:r>
          </w:p>
        </w:tc>
        <w:tc>
          <w:tcPr>
            <w:tcW w:w="1571" w:type="dxa"/>
            <w:tcBorders>
              <w:top w:val="single" w:sz="6" w:space="0" w:color="auto"/>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2.05</w:t>
            </w:r>
          </w:p>
        </w:tc>
        <w:tc>
          <w:tcPr>
            <w:tcW w:w="1466" w:type="dxa"/>
            <w:tcBorders>
              <w:top w:val="single" w:sz="6" w:space="0" w:color="auto"/>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2.05</w:t>
            </w:r>
          </w:p>
        </w:tc>
      </w:tr>
      <w:tr w:rsidR="006840B6" w:rsidRPr="00AE0D77" w:rsidTr="0074591B">
        <w:trPr>
          <w:cantSplit/>
          <w:trHeight w:val="80"/>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國內需求</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2.15</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1.88</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1.73</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1.52</w:t>
            </w:r>
          </w:p>
        </w:tc>
      </w:tr>
      <w:tr w:rsidR="006840B6" w:rsidRPr="00AE0D77" w:rsidTr="0074591B">
        <w:trPr>
          <w:cantSplit/>
          <w:trHeight w:val="229"/>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民間消費</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2.24</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1.17</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1.84</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0.97</w:t>
            </w:r>
          </w:p>
        </w:tc>
      </w:tr>
      <w:tr w:rsidR="006840B6" w:rsidRPr="00AE0D77" w:rsidTr="0074591B">
        <w:trPr>
          <w:cantSplit/>
          <w:trHeight w:val="108"/>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政府消費</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3.13</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0.44</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-0.15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-0.02</w:t>
            </w:r>
          </w:p>
        </w:tc>
      </w:tr>
      <w:tr w:rsidR="006840B6" w:rsidRPr="00AE0D77" w:rsidTr="0074591B">
        <w:trPr>
          <w:cantSplit/>
          <w:trHeight w:val="254"/>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國內投資</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1.29</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0.51</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2.30</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0.48</w:t>
            </w:r>
          </w:p>
        </w:tc>
      </w:tr>
      <w:tr w:rsidR="006840B6" w:rsidRPr="00AE0D77" w:rsidTr="0074591B">
        <w:trPr>
          <w:cantSplit/>
          <w:trHeight w:val="254"/>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w:t>
            </w:r>
          </w:p>
        </w:tc>
        <w:tc>
          <w:tcPr>
            <w:tcW w:w="1555" w:type="dxa"/>
            <w:tcBorders>
              <w:right w:val="single" w:sz="6" w:space="0" w:color="auto"/>
            </w:tcBorders>
          </w:tcPr>
          <w:p w:rsidR="006840B6" w:rsidRPr="00AE0D77" w:rsidRDefault="006840B6" w:rsidP="0074591B">
            <w:pPr>
              <w:snapToGrid w:val="0"/>
              <w:ind w:right="537"/>
              <w:jc w:val="right"/>
              <w:rPr>
                <w:rFonts w:eastAsia="標楷體"/>
              </w:rPr>
            </w:pPr>
            <w:r w:rsidRPr="00AE0D77">
              <w:rPr>
                <w:rFonts w:eastAsia="標楷體"/>
              </w:rPr>
              <w:t>2.95</w:t>
            </w:r>
          </w:p>
        </w:tc>
        <w:tc>
          <w:tcPr>
            <w:tcW w:w="1476" w:type="dxa"/>
            <w:tcBorders>
              <w:right w:val="single" w:sz="6" w:space="0" w:color="auto"/>
            </w:tcBorders>
          </w:tcPr>
          <w:p w:rsidR="006840B6" w:rsidRPr="00AE0D77" w:rsidRDefault="006840B6" w:rsidP="0074591B">
            <w:pPr>
              <w:snapToGrid w:val="0"/>
              <w:ind w:right="372"/>
              <w:jc w:val="center"/>
              <w:rPr>
                <w:rFonts w:eastAsia="標楷體"/>
              </w:rPr>
            </w:pPr>
            <w:r w:rsidRPr="00AE0D77">
              <w:rPr>
                <w:rFonts w:eastAsia="標楷體"/>
              </w:rPr>
              <w:t xml:space="preserve">   0.51</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1.95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0.34</w:t>
            </w:r>
          </w:p>
        </w:tc>
      </w:tr>
      <w:tr w:rsidR="006840B6" w:rsidRPr="00AE0D77" w:rsidTr="0074591B">
        <w:trPr>
          <w:cantSplit/>
          <w:trHeight w:val="254"/>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公營</w:t>
            </w:r>
          </w:p>
        </w:tc>
        <w:tc>
          <w:tcPr>
            <w:tcW w:w="1555" w:type="dxa"/>
            <w:tcBorders>
              <w:right w:val="single" w:sz="6" w:space="0" w:color="auto"/>
            </w:tcBorders>
          </w:tcPr>
          <w:p w:rsidR="006840B6" w:rsidRPr="00AE0D77" w:rsidRDefault="006840B6" w:rsidP="0074591B">
            <w:pPr>
              <w:snapToGrid w:val="0"/>
              <w:ind w:right="537"/>
              <w:jc w:val="right"/>
              <w:rPr>
                <w:rFonts w:eastAsia="標楷體"/>
              </w:rPr>
            </w:pPr>
            <w:r w:rsidRPr="00AE0D77">
              <w:rPr>
                <w:rFonts w:eastAsia="標楷體"/>
              </w:rPr>
              <w:t>-3.03</w:t>
            </w:r>
          </w:p>
        </w:tc>
        <w:tc>
          <w:tcPr>
            <w:tcW w:w="1476" w:type="dxa"/>
            <w:tcBorders>
              <w:right w:val="single" w:sz="6" w:space="0" w:color="auto"/>
            </w:tcBorders>
          </w:tcPr>
          <w:p w:rsidR="006840B6" w:rsidRPr="00AE0D77" w:rsidRDefault="006840B6" w:rsidP="0074591B">
            <w:pPr>
              <w:snapToGrid w:val="0"/>
              <w:ind w:right="492"/>
              <w:jc w:val="right"/>
              <w:rPr>
                <w:rFonts w:eastAsia="標楷體"/>
              </w:rPr>
            </w:pPr>
            <w:r w:rsidRPr="00AE0D77">
              <w:rPr>
                <w:rFonts w:eastAsia="標楷體"/>
              </w:rPr>
              <w:t>-0.03</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5.95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0.06</w:t>
            </w:r>
          </w:p>
        </w:tc>
      </w:tr>
      <w:tr w:rsidR="006840B6" w:rsidRPr="00AE0D77" w:rsidTr="0074591B">
        <w:trPr>
          <w:cantSplit/>
          <w:trHeight w:val="254"/>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w:t>
            </w:r>
          </w:p>
        </w:tc>
        <w:tc>
          <w:tcPr>
            <w:tcW w:w="1555" w:type="dxa"/>
            <w:tcBorders>
              <w:right w:val="single" w:sz="6" w:space="0" w:color="auto"/>
            </w:tcBorders>
          </w:tcPr>
          <w:p w:rsidR="006840B6" w:rsidRPr="00AE0D77" w:rsidRDefault="006840B6" w:rsidP="0074591B">
            <w:pPr>
              <w:snapToGrid w:val="0"/>
              <w:ind w:right="537"/>
              <w:jc w:val="right"/>
              <w:rPr>
                <w:rFonts w:eastAsia="標楷體"/>
              </w:rPr>
            </w:pPr>
            <w:r w:rsidRPr="00AE0D77">
              <w:rPr>
                <w:rFonts w:eastAsia="標楷體"/>
              </w:rPr>
              <w:t>1.26</w:t>
            </w:r>
          </w:p>
        </w:tc>
        <w:tc>
          <w:tcPr>
            <w:tcW w:w="1476" w:type="dxa"/>
            <w:tcBorders>
              <w:right w:val="single" w:sz="6" w:space="0" w:color="auto"/>
            </w:tcBorders>
          </w:tcPr>
          <w:p w:rsidR="006840B6" w:rsidRPr="00AE0D77" w:rsidRDefault="006840B6" w:rsidP="0074591B">
            <w:pPr>
              <w:snapToGrid w:val="0"/>
              <w:ind w:right="372"/>
              <w:jc w:val="center"/>
              <w:rPr>
                <w:rFonts w:eastAsia="標楷體"/>
              </w:rPr>
            </w:pPr>
            <w:r w:rsidRPr="00AE0D77">
              <w:rPr>
                <w:rFonts w:eastAsia="標楷體"/>
              </w:rPr>
              <w:t xml:space="preserve">   0.03</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2.99</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0.08</w:t>
            </w:r>
          </w:p>
        </w:tc>
      </w:tr>
      <w:tr w:rsidR="006840B6" w:rsidRPr="00AE0D77" w:rsidTr="0074591B">
        <w:trPr>
          <w:cantSplit/>
          <w:jc w:val="center"/>
        </w:trPr>
        <w:tc>
          <w:tcPr>
            <w:tcW w:w="2581" w:type="dxa"/>
            <w:tcBorders>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國外淨需求</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w:t>
            </w:r>
          </w:p>
        </w:tc>
        <w:tc>
          <w:tcPr>
            <w:tcW w:w="1476" w:type="dxa"/>
            <w:tcBorders>
              <w:right w:val="single" w:sz="6" w:space="0" w:color="auto"/>
            </w:tcBorders>
            <w:vAlign w:val="center"/>
          </w:tcPr>
          <w:p w:rsidR="006840B6" w:rsidRPr="00AE0D77" w:rsidRDefault="006840B6" w:rsidP="0074591B">
            <w:pPr>
              <w:widowControl/>
              <w:snapToGrid w:val="0"/>
              <w:ind w:right="537"/>
              <w:jc w:val="right"/>
              <w:rPr>
                <w:rFonts w:eastAsia="標楷體"/>
              </w:rPr>
            </w:pPr>
            <w:r w:rsidRPr="00AE0D77">
              <w:rPr>
                <w:rFonts w:eastAsia="標楷體"/>
              </w:rPr>
              <w:t>-0.40</w:t>
            </w:r>
          </w:p>
        </w:tc>
        <w:tc>
          <w:tcPr>
            <w:tcW w:w="1571" w:type="dxa"/>
            <w:tcBorders>
              <w:right w:val="single" w:sz="6" w:space="0" w:color="auto"/>
            </w:tcBorders>
            <w:vAlign w:val="center"/>
          </w:tcPr>
          <w:p w:rsidR="006840B6" w:rsidRPr="00AE0D77" w:rsidRDefault="006840B6" w:rsidP="0074591B">
            <w:pPr>
              <w:snapToGrid w:val="0"/>
              <w:ind w:right="465"/>
              <w:jc w:val="right"/>
              <w:rPr>
                <w:rFonts w:eastAsia="標楷體"/>
              </w:rPr>
            </w:pPr>
            <w:r w:rsidRPr="00AE0D77">
              <w:rPr>
                <w:rFonts w:eastAsia="標楷體"/>
              </w:rPr>
              <w:t>-</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0.53</w:t>
            </w:r>
          </w:p>
        </w:tc>
      </w:tr>
      <w:tr w:rsidR="006840B6" w:rsidRPr="00AE0D77" w:rsidTr="0074591B">
        <w:trPr>
          <w:cantSplit/>
          <w:jc w:val="center"/>
        </w:trPr>
        <w:tc>
          <w:tcPr>
            <w:tcW w:w="2581" w:type="dxa"/>
            <w:tcBorders>
              <w:right w:val="single" w:sz="6" w:space="0" w:color="auto"/>
            </w:tcBorders>
            <w:vAlign w:val="center"/>
          </w:tcPr>
          <w:p w:rsidR="006840B6" w:rsidRPr="00AE0D77" w:rsidRDefault="006840B6" w:rsidP="0074591B">
            <w:pPr>
              <w:widowControl/>
              <w:adjustRightInd w:val="0"/>
              <w:snapToGrid w:val="0"/>
              <w:jc w:val="both"/>
              <w:rPr>
                <w:rFonts w:eastAsia="標楷體"/>
                <w:kern w:val="0"/>
                <w:sz w:val="22"/>
              </w:rPr>
            </w:pPr>
            <w:r w:rsidRPr="00AE0D77">
              <w:rPr>
                <w:rFonts w:eastAsia="標楷體"/>
                <w:kern w:val="0"/>
                <w:sz w:val="22"/>
              </w:rPr>
              <w:t xml:space="preserve">  </w:t>
            </w:r>
            <w:r w:rsidRPr="00AE0D77">
              <w:rPr>
                <w:rFonts w:eastAsia="標楷體"/>
                <w:kern w:val="0"/>
                <w:sz w:val="22"/>
              </w:rPr>
              <w:t>輸出</w:t>
            </w:r>
            <w:r w:rsidRPr="00AE0D77">
              <w:rPr>
                <w:rFonts w:eastAsia="標楷體"/>
                <w:kern w:val="0"/>
                <w:sz w:val="22"/>
              </w:rPr>
              <w:t>(</w:t>
            </w:r>
            <w:r w:rsidRPr="00AE0D77">
              <w:rPr>
                <w:rFonts w:eastAsia="標楷體"/>
                <w:kern w:val="0"/>
                <w:sz w:val="22"/>
              </w:rPr>
              <w:t>含商品及勞務</w:t>
            </w:r>
            <w:r w:rsidRPr="00AE0D77">
              <w:rPr>
                <w:rFonts w:eastAsia="標楷體"/>
                <w:kern w:val="0"/>
                <w:sz w:val="22"/>
              </w:rPr>
              <w:t>)</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2.10</w:t>
            </w:r>
          </w:p>
        </w:tc>
        <w:tc>
          <w:tcPr>
            <w:tcW w:w="1476"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1.35</w:t>
            </w:r>
          </w:p>
        </w:tc>
        <w:tc>
          <w:tcPr>
            <w:tcW w:w="1571" w:type="dxa"/>
            <w:tcBorders>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3.95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2.49</w:t>
            </w:r>
          </w:p>
        </w:tc>
      </w:tr>
      <w:tr w:rsidR="006840B6" w:rsidRPr="00AE0D77" w:rsidTr="0074591B">
        <w:trPr>
          <w:cantSplit/>
          <w:jc w:val="center"/>
        </w:trPr>
        <w:tc>
          <w:tcPr>
            <w:tcW w:w="2581" w:type="dxa"/>
            <w:tcBorders>
              <w:bottom w:val="dashSmallGap" w:sz="4"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減：輸入</w:t>
            </w:r>
            <w:r w:rsidRPr="00AE0D77">
              <w:rPr>
                <w:rFonts w:eastAsia="標楷體"/>
                <w:kern w:val="0"/>
                <w:sz w:val="22"/>
                <w:szCs w:val="20"/>
              </w:rPr>
              <w:t>(</w:t>
            </w:r>
            <w:r w:rsidRPr="00AE0D77">
              <w:rPr>
                <w:rFonts w:eastAsia="標楷體"/>
                <w:kern w:val="0"/>
                <w:sz w:val="22"/>
                <w:szCs w:val="20"/>
              </w:rPr>
              <w:t>含商品及勞務</w:t>
            </w:r>
            <w:r w:rsidRPr="00AE0D77">
              <w:rPr>
                <w:rFonts w:eastAsia="標楷體"/>
                <w:kern w:val="0"/>
                <w:sz w:val="22"/>
                <w:szCs w:val="20"/>
              </w:rPr>
              <w:t>)</w:t>
            </w:r>
          </w:p>
        </w:tc>
        <w:tc>
          <w:tcPr>
            <w:tcW w:w="1555" w:type="dxa"/>
            <w:tcBorders>
              <w:bottom w:val="dashSmallGap" w:sz="4" w:space="0" w:color="auto"/>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3.40</w:t>
            </w:r>
          </w:p>
        </w:tc>
        <w:tc>
          <w:tcPr>
            <w:tcW w:w="1476" w:type="dxa"/>
            <w:tcBorders>
              <w:bottom w:val="dashSmallGap" w:sz="4" w:space="0" w:color="auto"/>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1.75</w:t>
            </w:r>
          </w:p>
        </w:tc>
        <w:tc>
          <w:tcPr>
            <w:tcW w:w="1571" w:type="dxa"/>
            <w:tcBorders>
              <w:bottom w:val="dashSmallGap" w:sz="4" w:space="0" w:color="auto"/>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3.85</w:t>
            </w:r>
          </w:p>
        </w:tc>
        <w:tc>
          <w:tcPr>
            <w:tcW w:w="1466" w:type="dxa"/>
            <w:tcBorders>
              <w:left w:val="single" w:sz="6" w:space="0" w:color="auto"/>
              <w:bottom w:val="dashSmallGap" w:sz="4" w:space="0" w:color="auto"/>
            </w:tcBorders>
          </w:tcPr>
          <w:p w:rsidR="006840B6" w:rsidRPr="00AE0D77" w:rsidRDefault="006840B6" w:rsidP="0074591B">
            <w:pPr>
              <w:snapToGrid w:val="0"/>
              <w:ind w:right="372"/>
              <w:jc w:val="right"/>
              <w:rPr>
                <w:rFonts w:eastAsia="標楷體"/>
              </w:rPr>
            </w:pPr>
            <w:r w:rsidRPr="00AE0D77">
              <w:rPr>
                <w:rFonts w:eastAsia="標楷體"/>
              </w:rPr>
              <w:t>1.96</w:t>
            </w:r>
          </w:p>
        </w:tc>
      </w:tr>
      <w:tr w:rsidR="006840B6" w:rsidRPr="00AE0D77" w:rsidTr="0074591B">
        <w:trPr>
          <w:cantSplit/>
          <w:trHeight w:val="143"/>
          <w:jc w:val="center"/>
        </w:trPr>
        <w:tc>
          <w:tcPr>
            <w:tcW w:w="2581" w:type="dxa"/>
            <w:tcBorders>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躉售物價</w:t>
            </w:r>
            <w:r w:rsidRPr="00AE0D77">
              <w:rPr>
                <w:rFonts w:eastAsia="標楷體"/>
                <w:kern w:val="0"/>
                <w:sz w:val="22"/>
              </w:rPr>
              <w:t>(WPI)</w:t>
            </w:r>
          </w:p>
        </w:tc>
        <w:tc>
          <w:tcPr>
            <w:tcW w:w="1555" w:type="dxa"/>
            <w:tcBorders>
              <w:right w:val="single" w:sz="6" w:space="0" w:color="auto"/>
            </w:tcBorders>
            <w:vAlign w:val="center"/>
          </w:tcPr>
          <w:p w:rsidR="006840B6" w:rsidRPr="00AE0D77" w:rsidRDefault="006840B6" w:rsidP="0074591B">
            <w:pPr>
              <w:snapToGrid w:val="0"/>
              <w:ind w:right="537"/>
              <w:jc w:val="right"/>
              <w:rPr>
                <w:rFonts w:eastAsia="標楷體"/>
              </w:rPr>
            </w:pPr>
            <w:r w:rsidRPr="00AE0D77">
              <w:rPr>
                <w:rFonts w:eastAsia="標楷體"/>
              </w:rPr>
              <w:t>-2.99</w:t>
            </w:r>
          </w:p>
        </w:tc>
        <w:tc>
          <w:tcPr>
            <w:tcW w:w="1476" w:type="dxa"/>
            <w:tcBorders>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right w:val="single" w:sz="6" w:space="0" w:color="auto"/>
            </w:tcBorders>
            <w:vAlign w:val="center"/>
          </w:tcPr>
          <w:p w:rsidR="006840B6" w:rsidRPr="00AE0D77" w:rsidRDefault="006840B6" w:rsidP="0074591B">
            <w:pPr>
              <w:snapToGrid w:val="0"/>
              <w:ind w:right="465"/>
              <w:jc w:val="right"/>
              <w:rPr>
                <w:rFonts w:eastAsia="標楷體"/>
              </w:rPr>
            </w:pPr>
            <w:r w:rsidRPr="00AE0D77">
              <w:rPr>
                <w:rFonts w:eastAsia="標楷體"/>
              </w:rPr>
              <w:t>0.50</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r w:rsidR="006840B6" w:rsidRPr="00AE0D77" w:rsidTr="0074591B">
        <w:trPr>
          <w:cantSplit/>
          <w:trHeight w:val="197"/>
          <w:jc w:val="center"/>
        </w:trPr>
        <w:tc>
          <w:tcPr>
            <w:tcW w:w="2581" w:type="dxa"/>
            <w:tcBorders>
              <w:bottom w:val="single" w:sz="6" w:space="0" w:color="auto"/>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消費者物價</w:t>
            </w:r>
            <w:r w:rsidRPr="00AE0D77">
              <w:rPr>
                <w:rFonts w:eastAsia="標楷體"/>
                <w:kern w:val="0"/>
                <w:sz w:val="22"/>
              </w:rPr>
              <w:t>(CPI)</w:t>
            </w:r>
          </w:p>
        </w:tc>
        <w:tc>
          <w:tcPr>
            <w:tcW w:w="1555" w:type="dxa"/>
            <w:tcBorders>
              <w:bottom w:val="single" w:sz="6" w:space="0" w:color="auto"/>
              <w:right w:val="single" w:sz="6" w:space="0" w:color="auto"/>
            </w:tcBorders>
          </w:tcPr>
          <w:p w:rsidR="006840B6" w:rsidRPr="00AE0D77" w:rsidRDefault="006840B6" w:rsidP="0074591B">
            <w:pPr>
              <w:snapToGrid w:val="0"/>
              <w:ind w:right="537"/>
              <w:jc w:val="right"/>
              <w:rPr>
                <w:rFonts w:eastAsia="標楷體"/>
              </w:rPr>
            </w:pPr>
            <w:r w:rsidRPr="00AE0D77">
              <w:rPr>
                <w:rFonts w:eastAsia="標楷體"/>
              </w:rPr>
              <w:t>1.40</w:t>
            </w:r>
          </w:p>
        </w:tc>
        <w:tc>
          <w:tcPr>
            <w:tcW w:w="1476" w:type="dxa"/>
            <w:tcBorders>
              <w:bottom w:val="single" w:sz="6" w:space="0" w:color="auto"/>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bottom w:val="single" w:sz="6" w:space="0" w:color="auto"/>
              <w:right w:val="single" w:sz="6" w:space="0" w:color="auto"/>
            </w:tcBorders>
          </w:tcPr>
          <w:p w:rsidR="006840B6" w:rsidRPr="00AE0D77" w:rsidRDefault="006840B6" w:rsidP="0074591B">
            <w:pPr>
              <w:snapToGrid w:val="0"/>
              <w:ind w:right="465"/>
              <w:jc w:val="right"/>
              <w:rPr>
                <w:rFonts w:eastAsia="標楷體"/>
              </w:rPr>
            </w:pPr>
            <w:r w:rsidRPr="00AE0D77">
              <w:rPr>
                <w:rFonts w:eastAsia="標楷體"/>
              </w:rPr>
              <w:t>0.95</w:t>
            </w:r>
          </w:p>
        </w:tc>
        <w:tc>
          <w:tcPr>
            <w:tcW w:w="1466" w:type="dxa"/>
            <w:tcBorders>
              <w:left w:val="single" w:sz="6" w:space="0" w:color="auto"/>
              <w:bottom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bl>
    <w:p w:rsidR="00F67965" w:rsidRPr="00AE0D77" w:rsidRDefault="00B91B68" w:rsidP="00B91B68">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004D575E" w:rsidRPr="00AE0D77">
        <w:rPr>
          <w:rFonts w:eastAsia="標楷體"/>
          <w:sz w:val="22"/>
          <w:szCs w:val="22"/>
        </w:rPr>
        <w:t>，</w:t>
      </w:r>
      <w:r w:rsidR="0001259C" w:rsidRPr="00AE0D77">
        <w:rPr>
          <w:rFonts w:eastAsia="標楷體"/>
          <w:sz w:val="22"/>
          <w:szCs w:val="22"/>
        </w:rPr>
        <w:t>10</w:t>
      </w:r>
      <w:r w:rsidR="00143F3F" w:rsidRPr="00AE0D77">
        <w:rPr>
          <w:rFonts w:eastAsia="標楷體"/>
          <w:sz w:val="22"/>
          <w:szCs w:val="22"/>
        </w:rPr>
        <w:t>6</w:t>
      </w:r>
      <w:r w:rsidR="004D575E" w:rsidRPr="00AE0D77">
        <w:rPr>
          <w:rFonts w:eastAsia="標楷體"/>
          <w:sz w:val="22"/>
          <w:szCs w:val="22"/>
        </w:rPr>
        <w:t>年</w:t>
      </w:r>
      <w:r w:rsidR="00FC7126" w:rsidRPr="00AE0D77">
        <w:rPr>
          <w:rFonts w:eastAsia="標楷體"/>
          <w:sz w:val="22"/>
          <w:szCs w:val="22"/>
        </w:rPr>
        <w:t>5</w:t>
      </w:r>
      <w:r w:rsidR="004D575E" w:rsidRPr="00AE0D77">
        <w:rPr>
          <w:rFonts w:eastAsia="標楷體"/>
          <w:sz w:val="22"/>
          <w:szCs w:val="22"/>
        </w:rPr>
        <w:t>月</w:t>
      </w:r>
      <w:r w:rsidR="00FC7126" w:rsidRPr="00AE0D77">
        <w:rPr>
          <w:rFonts w:eastAsia="標楷體"/>
          <w:sz w:val="22"/>
          <w:szCs w:val="22"/>
        </w:rPr>
        <w:t>2</w:t>
      </w:r>
      <w:r w:rsidR="00143F3F" w:rsidRPr="00AE0D77">
        <w:rPr>
          <w:rFonts w:eastAsia="標楷體"/>
          <w:sz w:val="22"/>
          <w:szCs w:val="22"/>
        </w:rPr>
        <w:t>6</w:t>
      </w:r>
      <w:r w:rsidR="004D575E" w:rsidRPr="00AE0D77">
        <w:rPr>
          <w:rFonts w:eastAsia="標楷體"/>
          <w:sz w:val="22"/>
          <w:szCs w:val="22"/>
        </w:rPr>
        <w:t>日</w:t>
      </w:r>
      <w:r w:rsidRPr="00AE0D77">
        <w:rPr>
          <w:rFonts w:eastAsia="標楷體"/>
          <w:sz w:val="22"/>
          <w:szCs w:val="22"/>
        </w:rPr>
        <w:t>。</w:t>
      </w:r>
    </w:p>
    <w:p w:rsidR="003A1D4B" w:rsidRPr="00AE0D77" w:rsidRDefault="003A1D4B">
      <w:pPr>
        <w:widowControl/>
        <w:rPr>
          <w:rFonts w:eastAsia="標楷體"/>
          <w:sz w:val="22"/>
          <w:szCs w:val="22"/>
        </w:rPr>
      </w:pPr>
      <w:r w:rsidRPr="00AE0D77">
        <w:rPr>
          <w:rFonts w:eastAsia="標楷體"/>
          <w:sz w:val="22"/>
          <w:szCs w:val="22"/>
        </w:rPr>
        <w:br w:type="page"/>
      </w:r>
    </w:p>
    <w:p w:rsidR="00C7157A" w:rsidRPr="00AE0D77" w:rsidRDefault="00C7157A" w:rsidP="00481C6E">
      <w:pPr>
        <w:tabs>
          <w:tab w:val="left" w:pos="709"/>
        </w:tabs>
        <w:spacing w:afterLines="50" w:after="180" w:line="460" w:lineRule="exact"/>
        <w:ind w:left="533" w:hangingChars="190" w:hanging="533"/>
        <w:rPr>
          <w:rFonts w:eastAsia="標楷體"/>
          <w:b/>
          <w:bCs/>
          <w:sz w:val="28"/>
          <w:szCs w:val="28"/>
        </w:rPr>
      </w:pPr>
      <w:bookmarkStart w:id="89" w:name="_Toc349916583"/>
      <w:bookmarkEnd w:id="88"/>
      <w:r w:rsidRPr="00AE0D77">
        <w:rPr>
          <w:rFonts w:eastAsia="標楷體"/>
          <w:b/>
          <w:bCs/>
          <w:sz w:val="28"/>
          <w:szCs w:val="28"/>
        </w:rPr>
        <w:t>２、</w:t>
      </w:r>
      <w:r w:rsidR="00087932" w:rsidRPr="00AE0D77">
        <w:rPr>
          <w:rFonts w:eastAsia="標楷體"/>
          <w:b/>
          <w:bCs/>
          <w:color w:val="000000" w:themeColor="text1"/>
          <w:sz w:val="28"/>
          <w:szCs w:val="28"/>
        </w:rPr>
        <w:t>106</w:t>
      </w:r>
      <w:r w:rsidR="00087932" w:rsidRPr="00AE0D77">
        <w:rPr>
          <w:rFonts w:eastAsia="標楷體"/>
          <w:b/>
          <w:bCs/>
          <w:color w:val="000000" w:themeColor="text1"/>
          <w:sz w:val="28"/>
          <w:szCs w:val="28"/>
        </w:rPr>
        <w:t>年</w:t>
      </w:r>
      <w:r w:rsidR="00087932" w:rsidRPr="00AE0D77">
        <w:rPr>
          <w:rFonts w:eastAsia="標楷體"/>
          <w:b/>
          <w:bCs/>
          <w:color w:val="000000" w:themeColor="text1"/>
          <w:sz w:val="28"/>
          <w:szCs w:val="28"/>
        </w:rPr>
        <w:t>5</w:t>
      </w:r>
      <w:r w:rsidR="00087932" w:rsidRPr="00AE0D77">
        <w:rPr>
          <w:rFonts w:eastAsia="標楷體"/>
          <w:b/>
          <w:bCs/>
          <w:color w:val="000000" w:themeColor="text1"/>
          <w:sz w:val="28"/>
          <w:szCs w:val="28"/>
        </w:rPr>
        <w:t>月景氣對策信號續呈黃藍燈，領先、同時指標下跌</w:t>
      </w:r>
    </w:p>
    <w:p w:rsidR="00481C6E" w:rsidRPr="00AE0D77" w:rsidRDefault="00C7157A" w:rsidP="00481C6E">
      <w:pPr>
        <w:snapToGrid w:val="0"/>
        <w:spacing w:beforeLines="50" w:before="180" w:line="300" w:lineRule="auto"/>
        <w:ind w:rightChars="-59" w:right="-142"/>
        <w:jc w:val="both"/>
        <w:rPr>
          <w:rFonts w:eastAsia="標楷體"/>
          <w:sz w:val="28"/>
          <w:szCs w:val="28"/>
        </w:rPr>
      </w:pPr>
      <w:r w:rsidRPr="00AE0D77">
        <w:rPr>
          <w:rFonts w:eastAsia="標楷體"/>
          <w:sz w:val="28"/>
          <w:szCs w:val="28"/>
        </w:rPr>
        <w:t xml:space="preserve"> </w:t>
      </w:r>
      <w:r w:rsidR="00481C6E" w:rsidRPr="00AE0D77">
        <w:rPr>
          <w:rFonts w:eastAsia="標楷體"/>
          <w:sz w:val="28"/>
          <w:szCs w:val="28"/>
        </w:rPr>
        <w:t xml:space="preserve">(1) </w:t>
      </w:r>
      <w:r w:rsidR="00481C6E" w:rsidRPr="00AE0D77">
        <w:rPr>
          <w:rFonts w:eastAsia="標楷體"/>
          <w:sz w:val="28"/>
          <w:szCs w:val="28"/>
        </w:rPr>
        <w:t>領先指標</w:t>
      </w:r>
    </w:p>
    <w:p w:rsidR="0058231D" w:rsidRPr="00AE0D77"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AE0D77">
        <w:rPr>
          <w:rFonts w:eastAsia="標楷體"/>
          <w:kern w:val="0"/>
          <w:sz w:val="28"/>
          <w:szCs w:val="28"/>
        </w:rPr>
        <w:t>106</w:t>
      </w:r>
      <w:r w:rsidRPr="00AE0D77">
        <w:rPr>
          <w:rFonts w:eastAsia="標楷體"/>
          <w:kern w:val="0"/>
          <w:sz w:val="28"/>
          <w:szCs w:val="28"/>
        </w:rPr>
        <w:t>年</w:t>
      </w:r>
      <w:r w:rsidRPr="00AE0D77">
        <w:rPr>
          <w:rFonts w:eastAsia="標楷體"/>
          <w:kern w:val="0"/>
          <w:sz w:val="28"/>
          <w:szCs w:val="28"/>
        </w:rPr>
        <w:t>5</w:t>
      </w:r>
      <w:r w:rsidRPr="00AE0D77">
        <w:rPr>
          <w:rFonts w:eastAsia="標楷體"/>
          <w:kern w:val="0"/>
          <w:sz w:val="28"/>
          <w:szCs w:val="28"/>
        </w:rPr>
        <w:t>月不含趨勢指數為</w:t>
      </w:r>
      <w:r w:rsidRPr="00AE0D77">
        <w:rPr>
          <w:rFonts w:eastAsia="標楷體"/>
          <w:kern w:val="0"/>
          <w:sz w:val="28"/>
          <w:szCs w:val="28"/>
        </w:rPr>
        <w:t>99.84</w:t>
      </w:r>
      <w:r w:rsidRPr="00AE0D77">
        <w:rPr>
          <w:rFonts w:eastAsia="標楷體"/>
          <w:kern w:val="0"/>
          <w:sz w:val="28"/>
          <w:szCs w:val="28"/>
        </w:rPr>
        <w:t>，較上月下跌</w:t>
      </w:r>
      <w:r w:rsidRPr="00AE0D77">
        <w:rPr>
          <w:rFonts w:eastAsia="標楷體"/>
          <w:kern w:val="0"/>
          <w:sz w:val="28"/>
          <w:szCs w:val="28"/>
        </w:rPr>
        <w:t>0.60%</w:t>
      </w:r>
      <w:r w:rsidRPr="00AE0D77">
        <w:rPr>
          <w:rFonts w:eastAsia="標楷體"/>
          <w:kern w:val="0"/>
          <w:sz w:val="28"/>
          <w:szCs w:val="28"/>
        </w:rPr>
        <w:t>。</w:t>
      </w:r>
      <w:r w:rsidRPr="00AE0D77">
        <w:rPr>
          <w:rFonts w:eastAsia="標楷體"/>
          <w:kern w:val="0"/>
          <w:sz w:val="28"/>
          <w:szCs w:val="28"/>
        </w:rPr>
        <w:t>7</w:t>
      </w:r>
      <w:r w:rsidRPr="00AE0D77">
        <w:rPr>
          <w:rFonts w:eastAsia="標楷體"/>
          <w:kern w:val="0"/>
          <w:sz w:val="28"/>
          <w:szCs w:val="28"/>
        </w:rPr>
        <w:t>個構成項目，經去除長期趨勢後，除股價指數較上月上升外，其餘</w:t>
      </w:r>
      <w:r w:rsidRPr="00AE0D77">
        <w:rPr>
          <w:rFonts w:eastAsia="標楷體"/>
          <w:kern w:val="0"/>
          <w:sz w:val="28"/>
          <w:szCs w:val="28"/>
        </w:rPr>
        <w:t>6</w:t>
      </w:r>
      <w:r w:rsidRPr="00AE0D77">
        <w:rPr>
          <w:rFonts w:eastAsia="標楷體"/>
          <w:kern w:val="0"/>
          <w:sz w:val="28"/>
          <w:szCs w:val="28"/>
        </w:rPr>
        <w:t>項均較上月下滑，分別為：外銷訂單指數、實質半導體設備進口值、製造業營業氣候測驗點、實質貨幣總計數</w:t>
      </w:r>
      <w:r w:rsidRPr="00AE0D77">
        <w:rPr>
          <w:rFonts w:eastAsia="標楷體"/>
          <w:kern w:val="0"/>
          <w:sz w:val="28"/>
          <w:szCs w:val="28"/>
        </w:rPr>
        <w:t>M1B</w:t>
      </w:r>
      <w:r w:rsidRPr="00AE0D77">
        <w:rPr>
          <w:rFonts w:eastAsia="標楷體"/>
          <w:kern w:val="0"/>
          <w:sz w:val="28"/>
          <w:szCs w:val="28"/>
        </w:rPr>
        <w:t>、工業及服務業受僱員工淨進入率、核發建照面積。</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087932"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rPr>
        <w:drawing>
          <wp:inline distT="0" distB="0" distL="0" distR="0" wp14:anchorId="0C2F634B" wp14:editId="1100E840">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577E6"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6ADA94F9" wp14:editId="5E91F75C">
                <wp:simplePos x="0" y="0"/>
                <wp:positionH relativeFrom="column">
                  <wp:posOffset>2594610</wp:posOffset>
                </wp:positionH>
                <wp:positionV relativeFrom="paragraph">
                  <wp:posOffset>1953895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6D5A67" w:rsidRPr="00166D08" w:rsidRDefault="006D5A67"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4.3pt;margin-top:153.8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" filled="f" stroked="f">
                <v:textbox>
                  <w:txbxContent>
                    <w:p w:rsidR="006D5A67" w:rsidRPr="00166D08" w:rsidRDefault="006D5A67"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AE0D77"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(2) </w:t>
      </w:r>
      <w:r w:rsidRPr="00AE0D77">
        <w:rPr>
          <w:rFonts w:eastAsia="標楷體"/>
          <w:sz w:val="28"/>
          <w:szCs w:val="32"/>
        </w:rPr>
        <w:t>同時指標</w:t>
      </w:r>
    </w:p>
    <w:p w:rsidR="00481C6E" w:rsidRPr="00AE0D77"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AE0D77">
        <w:rPr>
          <w:rFonts w:eastAsia="標楷體"/>
          <w:kern w:val="0"/>
          <w:sz w:val="28"/>
          <w:szCs w:val="28"/>
        </w:rPr>
        <w:t>106</w:t>
      </w:r>
      <w:r w:rsidRPr="00AE0D77">
        <w:rPr>
          <w:rFonts w:eastAsia="標楷體"/>
          <w:kern w:val="0"/>
          <w:sz w:val="28"/>
          <w:szCs w:val="28"/>
        </w:rPr>
        <w:t>年</w:t>
      </w:r>
      <w:r w:rsidRPr="00AE0D77">
        <w:rPr>
          <w:rFonts w:eastAsia="標楷體"/>
          <w:kern w:val="0"/>
          <w:sz w:val="28"/>
          <w:szCs w:val="28"/>
        </w:rPr>
        <w:t>5</w:t>
      </w:r>
      <w:r w:rsidRPr="00AE0D77">
        <w:rPr>
          <w:rFonts w:eastAsia="標楷體"/>
          <w:kern w:val="0"/>
          <w:sz w:val="28"/>
          <w:szCs w:val="28"/>
        </w:rPr>
        <w:t>月不含趨勢指數為</w:t>
      </w:r>
      <w:r w:rsidRPr="00AE0D77">
        <w:rPr>
          <w:rFonts w:eastAsia="標楷體"/>
          <w:kern w:val="0"/>
          <w:sz w:val="28"/>
          <w:szCs w:val="28"/>
        </w:rPr>
        <w:t>98.80</w:t>
      </w:r>
      <w:r w:rsidRPr="00AE0D77">
        <w:rPr>
          <w:rFonts w:eastAsia="標楷體"/>
          <w:kern w:val="0"/>
          <w:sz w:val="28"/>
          <w:szCs w:val="28"/>
        </w:rPr>
        <w:t>，較上月下跌</w:t>
      </w:r>
      <w:r w:rsidRPr="00AE0D77">
        <w:rPr>
          <w:rFonts w:eastAsia="標楷體"/>
          <w:kern w:val="0"/>
          <w:sz w:val="28"/>
          <w:szCs w:val="28"/>
        </w:rPr>
        <w:t>1.24%</w:t>
      </w:r>
      <w:r w:rsidRPr="00AE0D77">
        <w:rPr>
          <w:rFonts w:eastAsia="標楷體"/>
          <w:kern w:val="0"/>
          <w:sz w:val="28"/>
          <w:szCs w:val="28"/>
        </w:rPr>
        <w:t>。</w:t>
      </w:r>
      <w:r w:rsidRPr="00AE0D77">
        <w:rPr>
          <w:rFonts w:eastAsia="標楷體"/>
          <w:kern w:val="0"/>
          <w:sz w:val="28"/>
          <w:szCs w:val="28"/>
        </w:rPr>
        <w:t>7</w:t>
      </w:r>
      <w:r w:rsidRPr="00AE0D77">
        <w:rPr>
          <w:rFonts w:eastAsia="標楷體"/>
          <w:kern w:val="0"/>
          <w:sz w:val="28"/>
          <w:szCs w:val="28"/>
        </w:rPr>
        <w:t>個構成項目經去除長期趨勢後，除非農業部門就業人數較上月上升外，其餘</w:t>
      </w:r>
      <w:r w:rsidRPr="00AE0D77">
        <w:rPr>
          <w:rFonts w:eastAsia="標楷體"/>
          <w:kern w:val="0"/>
          <w:sz w:val="28"/>
          <w:szCs w:val="28"/>
        </w:rPr>
        <w:t>6</w:t>
      </w:r>
      <w:r w:rsidRPr="00AE0D77">
        <w:rPr>
          <w:rFonts w:eastAsia="標楷體"/>
          <w:kern w:val="0"/>
          <w:sz w:val="28"/>
          <w:szCs w:val="28"/>
        </w:rPr>
        <w:t>項均較上月下滑，分別為：電力</w:t>
      </w:r>
      <w:r w:rsidRPr="00AE0D77">
        <w:rPr>
          <w:rFonts w:eastAsia="標楷體"/>
          <w:kern w:val="0"/>
          <w:sz w:val="28"/>
          <w:szCs w:val="28"/>
        </w:rPr>
        <w:t>(</w:t>
      </w:r>
      <w:r w:rsidRPr="00AE0D77">
        <w:rPr>
          <w:rFonts w:eastAsia="標楷體"/>
          <w:kern w:val="0"/>
          <w:sz w:val="28"/>
          <w:szCs w:val="28"/>
        </w:rPr>
        <w:t>企業</w:t>
      </w:r>
      <w:r w:rsidRPr="00AE0D77">
        <w:rPr>
          <w:rFonts w:eastAsia="標楷體"/>
          <w:kern w:val="0"/>
          <w:sz w:val="28"/>
          <w:szCs w:val="28"/>
        </w:rPr>
        <w:t>)</w:t>
      </w:r>
      <w:r w:rsidRPr="00AE0D77">
        <w:rPr>
          <w:rFonts w:eastAsia="標楷體"/>
          <w:kern w:val="0"/>
          <w:sz w:val="28"/>
          <w:szCs w:val="28"/>
        </w:rPr>
        <w:t>總用電量、製造業銷售量指數、實質海關出口值、工業生產指數、實質機械及電機設備進口值，以及批發、零售及餐飲業營業額</w:t>
      </w:r>
      <w:r w:rsidR="006840B6" w:rsidRPr="00AE0D77">
        <w:rPr>
          <w:rFonts w:eastAsia="標楷體"/>
          <w:kern w:val="0"/>
          <w:sz w:val="28"/>
          <w:szCs w:val="28"/>
        </w:rPr>
        <w:t>。</w:t>
      </w:r>
    </w:p>
    <w:p w:rsidR="00481C6E" w:rsidRPr="00AE0D77" w:rsidRDefault="00481C6E" w:rsidP="00481C6E">
      <w:pPr>
        <w:widowControl/>
        <w:snapToGrid w:val="0"/>
        <w:spacing w:beforeLines="50" w:before="180" w:afterLines="50" w:after="180" w:line="300" w:lineRule="auto"/>
        <w:ind w:rightChars="-59" w:right="-142"/>
        <w:jc w:val="both"/>
        <w:rPr>
          <w:rFonts w:eastAsia="標楷體"/>
          <w:kern w:val="0"/>
          <w:sz w:val="28"/>
          <w:szCs w:val="28"/>
        </w:rPr>
      </w:pPr>
    </w:p>
    <w:p w:rsidR="00C74562" w:rsidRPr="00AE0D77" w:rsidRDefault="00C74562" w:rsidP="00481C6E">
      <w:pPr>
        <w:widowControl/>
        <w:snapToGrid w:val="0"/>
        <w:spacing w:beforeLines="50" w:before="180" w:afterLines="50" w:after="180" w:line="300" w:lineRule="auto"/>
        <w:ind w:rightChars="-59" w:right="-142"/>
        <w:jc w:val="both"/>
        <w:rPr>
          <w:rFonts w:eastAsia="標楷體"/>
          <w:kern w:val="0"/>
          <w:sz w:val="28"/>
          <w:szCs w:val="28"/>
        </w:rPr>
      </w:pPr>
    </w:p>
    <w:p w:rsidR="006840B6" w:rsidRPr="00AE0D77" w:rsidRDefault="006840B6"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Pr="00AE0D77"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t>圖</w:t>
      </w:r>
      <w:r w:rsidRPr="00AE0D77">
        <w:rPr>
          <w:rFonts w:eastAsia="標楷體"/>
          <w:b/>
          <w:noProof/>
          <w:kern w:val="0"/>
          <w:sz w:val="28"/>
          <w:szCs w:val="28"/>
        </w:rPr>
        <w:t>2-1-2</w:t>
      </w:r>
      <w:r w:rsidRPr="00AE0D77">
        <w:rPr>
          <w:rFonts w:eastAsia="標楷體"/>
          <w:b/>
          <w:noProof/>
          <w:kern w:val="0"/>
          <w:sz w:val="28"/>
          <w:szCs w:val="28"/>
        </w:rPr>
        <w:t>景氣同時指標</w:t>
      </w:r>
    </w:p>
    <w:p w:rsidR="00481C6E" w:rsidRPr="00AE0D77" w:rsidRDefault="00087932" w:rsidP="00481C6E">
      <w:pPr>
        <w:widowControl/>
        <w:snapToGrid w:val="0"/>
        <w:spacing w:beforeLines="50" w:before="180" w:afterLines="50" w:after="180" w:line="300" w:lineRule="auto"/>
        <w:ind w:rightChars="-59" w:right="-142"/>
        <w:jc w:val="both"/>
        <w:rPr>
          <w:rFonts w:eastAsia="標楷體"/>
          <w:noProof/>
          <w:kern w:val="0"/>
          <w:sz w:val="28"/>
          <w:szCs w:val="20"/>
        </w:rPr>
      </w:pPr>
      <w:r w:rsidRPr="00AE0D77">
        <w:rPr>
          <w:rFonts w:eastAsia="標楷體"/>
          <w:noProof/>
        </w:rPr>
        <mc:AlternateContent>
          <mc:Choice Requires="wps">
            <w:drawing>
              <wp:anchor distT="0" distB="0" distL="114300" distR="114300" simplePos="0" relativeHeight="252209664" behindDoc="0" locked="0" layoutInCell="1" allowOverlap="1" wp14:anchorId="20CB7BA3" wp14:editId="3952CF51">
                <wp:simplePos x="0" y="0"/>
                <wp:positionH relativeFrom="column">
                  <wp:posOffset>1163955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6D5A67" w:rsidRPr="00912012" w:rsidRDefault="006D5A67"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" adj="20372,-11668" fillcolor="window" strokecolor="windowText" strokeweight=".5pt">
                <v:textbox>
                  <w:txbxContent>
                    <w:p w:rsidR="006D5A67" w:rsidRPr="00912012" w:rsidRDefault="006D5A67"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AE0D77">
        <w:rPr>
          <w:rFonts w:eastAsia="標楷體"/>
          <w:noProof/>
        </w:rPr>
        <w:drawing>
          <wp:inline distT="0" distB="0" distL="0" distR="0" wp14:anchorId="38E82B9F" wp14:editId="3DDE3A65">
            <wp:extent cx="5278120" cy="256921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1C6E" w:rsidRPr="00AE0D77" w:rsidRDefault="00481C6E" w:rsidP="00976F8B">
      <w:pPr>
        <w:tabs>
          <w:tab w:val="left" w:pos="540"/>
        </w:tabs>
        <w:snapToGrid w:val="0"/>
        <w:spacing w:before="360" w:line="300" w:lineRule="auto"/>
        <w:rPr>
          <w:rFonts w:eastAsia="標楷體"/>
          <w:sz w:val="28"/>
          <w:szCs w:val="28"/>
        </w:rPr>
      </w:pPr>
      <w:r w:rsidRPr="00AE0D77">
        <w:rPr>
          <w:rFonts w:eastAsia="標楷體"/>
          <w:sz w:val="28"/>
          <w:szCs w:val="32"/>
        </w:rPr>
        <w:t xml:space="preserve">(3) </w:t>
      </w:r>
      <w:r w:rsidRPr="00AE0D77">
        <w:rPr>
          <w:rFonts w:eastAsia="標楷體"/>
          <w:sz w:val="28"/>
          <w:szCs w:val="28"/>
        </w:rPr>
        <w:t>景氣對策信號</w:t>
      </w:r>
    </w:p>
    <w:p w:rsidR="0076287F" w:rsidRPr="00AE0D77" w:rsidRDefault="00087932" w:rsidP="00FE5841">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AE0D77">
        <w:rPr>
          <w:rFonts w:eastAsia="標楷體"/>
          <w:noProof/>
          <w:kern w:val="0"/>
          <w:sz w:val="28"/>
          <w:szCs w:val="20"/>
        </w:rPr>
        <w:t>106</w:t>
      </w:r>
      <w:r w:rsidRPr="00AE0D77">
        <w:rPr>
          <w:rFonts w:eastAsia="標楷體"/>
          <w:noProof/>
          <w:kern w:val="0"/>
          <w:sz w:val="28"/>
          <w:szCs w:val="20"/>
        </w:rPr>
        <w:t>年</w:t>
      </w:r>
      <w:r w:rsidRPr="00AE0D77">
        <w:rPr>
          <w:rFonts w:eastAsia="標楷體"/>
          <w:noProof/>
          <w:kern w:val="0"/>
          <w:sz w:val="28"/>
          <w:szCs w:val="20"/>
        </w:rPr>
        <w:t>5</w:t>
      </w:r>
      <w:r w:rsidRPr="00AE0D77">
        <w:rPr>
          <w:rFonts w:eastAsia="標楷體"/>
          <w:noProof/>
          <w:kern w:val="0"/>
          <w:sz w:val="28"/>
          <w:szCs w:val="20"/>
        </w:rPr>
        <w:t>月綜合判斷分數較上月減少</w:t>
      </w:r>
      <w:r w:rsidRPr="00AE0D77">
        <w:rPr>
          <w:rFonts w:eastAsia="標楷體"/>
          <w:noProof/>
          <w:kern w:val="0"/>
          <w:sz w:val="28"/>
          <w:szCs w:val="20"/>
        </w:rPr>
        <w:t>1</w:t>
      </w:r>
      <w:r w:rsidRPr="00AE0D77">
        <w:rPr>
          <w:rFonts w:eastAsia="標楷體"/>
          <w:noProof/>
          <w:kern w:val="0"/>
          <w:sz w:val="28"/>
          <w:szCs w:val="20"/>
        </w:rPr>
        <w:t>分至</w:t>
      </w:r>
      <w:r w:rsidRPr="00AE0D77">
        <w:rPr>
          <w:rFonts w:eastAsia="標楷體"/>
          <w:noProof/>
          <w:kern w:val="0"/>
          <w:sz w:val="28"/>
          <w:szCs w:val="20"/>
        </w:rPr>
        <w:t>20</w:t>
      </w:r>
      <w:r w:rsidRPr="00AE0D77">
        <w:rPr>
          <w:rFonts w:eastAsia="標楷體"/>
          <w:noProof/>
          <w:kern w:val="0"/>
          <w:sz w:val="28"/>
          <w:szCs w:val="20"/>
        </w:rPr>
        <w:t>分，燈號續呈黃藍燈；</w:t>
      </w:r>
      <w:r w:rsidRPr="00AE0D77">
        <w:rPr>
          <w:rFonts w:eastAsia="標楷體"/>
          <w:noProof/>
          <w:kern w:val="0"/>
          <w:sz w:val="28"/>
          <w:szCs w:val="20"/>
        </w:rPr>
        <w:t>9</w:t>
      </w:r>
      <w:r w:rsidRPr="00AE0D77">
        <w:rPr>
          <w:rFonts w:eastAsia="標楷體"/>
          <w:noProof/>
          <w:kern w:val="0"/>
          <w:sz w:val="28"/>
          <w:szCs w:val="20"/>
        </w:rPr>
        <w:t>項構成項目中，製造業銷售量指數由黃藍燈轉呈藍燈，分數減少</w:t>
      </w:r>
      <w:r w:rsidRPr="00AE0D77">
        <w:rPr>
          <w:rFonts w:eastAsia="標楷體"/>
          <w:noProof/>
          <w:kern w:val="0"/>
          <w:sz w:val="28"/>
          <w:szCs w:val="20"/>
        </w:rPr>
        <w:t>1</w:t>
      </w:r>
      <w:r w:rsidRPr="00AE0D77">
        <w:rPr>
          <w:rFonts w:eastAsia="標楷體"/>
          <w:noProof/>
          <w:kern w:val="0"/>
          <w:sz w:val="28"/>
          <w:szCs w:val="20"/>
        </w:rPr>
        <w:t>分；其餘</w:t>
      </w:r>
      <w:r w:rsidRPr="00AE0D77">
        <w:rPr>
          <w:rFonts w:eastAsia="標楷體"/>
          <w:noProof/>
          <w:kern w:val="0"/>
          <w:sz w:val="28"/>
          <w:szCs w:val="20"/>
        </w:rPr>
        <w:t>8</w:t>
      </w:r>
      <w:r w:rsidRPr="00AE0D77">
        <w:rPr>
          <w:rFonts w:eastAsia="標楷體"/>
          <w:noProof/>
          <w:kern w:val="0"/>
          <w:sz w:val="28"/>
          <w:szCs w:val="20"/>
        </w:rPr>
        <w:t>項燈號不變</w:t>
      </w:r>
      <w:r w:rsidR="00C60C4A" w:rsidRPr="00AE0D77">
        <w:rPr>
          <w:rFonts w:eastAsia="標楷體"/>
          <w:noProof/>
          <w:kern w:val="0"/>
          <w:sz w:val="28"/>
          <w:szCs w:val="20"/>
        </w:rPr>
        <w:t>。</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087932"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sidRPr="00AE0D77">
        <w:rPr>
          <w:rFonts w:eastAsia="標楷體"/>
          <w:b/>
          <w:bCs/>
          <w:noProof/>
          <w:sz w:val="28"/>
          <w:szCs w:val="28"/>
        </w:rPr>
        <w:drawing>
          <wp:inline distT="0" distB="0" distL="0" distR="0" wp14:anchorId="1173010C" wp14:editId="03FBE05C">
            <wp:extent cx="5400040" cy="3737171"/>
            <wp:effectExtent l="0" t="0" r="0" b="0"/>
            <wp:docPr id="6" name="圖片 6" descr="N:\經濟處\經濟處資料限閱區\02_經濟景氣科\1.記者會及月報工作區(10109試編)\5.燈號\2.新聞稿圖\10605\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605\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37171"/>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86347630"/>
      <w:r w:rsidRPr="00AE0D77">
        <w:rPr>
          <w:rFonts w:eastAsia="標楷體"/>
          <w:b/>
          <w:bCs/>
          <w:sz w:val="32"/>
          <w:szCs w:val="32"/>
        </w:rPr>
        <w:t>（二）工業生產</w:t>
      </w:r>
      <w:bookmarkEnd w:id="89"/>
      <w:bookmarkEnd w:id="90"/>
      <w:bookmarkEnd w:id="91"/>
      <w:bookmarkEnd w:id="92"/>
    </w:p>
    <w:p w:rsidR="00F67965" w:rsidRPr="00AE0D77" w:rsidRDefault="00F67965" w:rsidP="00F67965">
      <w:pPr>
        <w:tabs>
          <w:tab w:val="left" w:pos="540"/>
        </w:tabs>
        <w:spacing w:line="400" w:lineRule="exact"/>
        <w:rPr>
          <w:rFonts w:eastAsia="標楷體"/>
          <w:b/>
          <w:bCs/>
          <w:sz w:val="28"/>
          <w:szCs w:val="28"/>
        </w:rPr>
      </w:pPr>
      <w:bookmarkStart w:id="93" w:name="OLE_LINK5"/>
      <w:r w:rsidRPr="00AE0D77">
        <w:rPr>
          <w:rFonts w:eastAsia="標楷體"/>
          <w:b/>
          <w:bCs/>
          <w:sz w:val="28"/>
          <w:szCs w:val="28"/>
        </w:rPr>
        <w:t>１、</w:t>
      </w:r>
      <w:r w:rsidR="00031355" w:rsidRPr="00AE0D77">
        <w:rPr>
          <w:rFonts w:eastAsia="標楷體"/>
          <w:b/>
          <w:bCs/>
          <w:sz w:val="28"/>
          <w:szCs w:val="28"/>
        </w:rPr>
        <w:t>106</w:t>
      </w:r>
      <w:r w:rsidR="00031355" w:rsidRPr="00AE0D77">
        <w:rPr>
          <w:rFonts w:eastAsia="標楷體"/>
          <w:b/>
          <w:bCs/>
          <w:sz w:val="28"/>
          <w:szCs w:val="28"/>
        </w:rPr>
        <w:t>年</w:t>
      </w:r>
      <w:r w:rsidR="00031355" w:rsidRPr="00AE0D77">
        <w:rPr>
          <w:rFonts w:eastAsia="標楷體"/>
          <w:b/>
          <w:bCs/>
          <w:sz w:val="28"/>
          <w:szCs w:val="28"/>
        </w:rPr>
        <w:t>5</w:t>
      </w:r>
      <w:r w:rsidR="00031355" w:rsidRPr="00AE0D77">
        <w:rPr>
          <w:rFonts w:eastAsia="標楷體"/>
          <w:b/>
          <w:bCs/>
          <w:sz w:val="28"/>
          <w:szCs w:val="28"/>
        </w:rPr>
        <w:t>月工業生產增加</w:t>
      </w:r>
      <w:r w:rsidR="00031355" w:rsidRPr="00AE0D77">
        <w:rPr>
          <w:rFonts w:eastAsia="標楷體"/>
          <w:b/>
          <w:bCs/>
          <w:sz w:val="28"/>
          <w:szCs w:val="28"/>
        </w:rPr>
        <w:t>0.78%</w:t>
      </w:r>
    </w:p>
    <w:p w:rsidR="00F67965" w:rsidRPr="00AE0D77" w:rsidRDefault="00031355" w:rsidP="00E241E3">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月工業生產指數</w:t>
      </w:r>
      <w:r w:rsidRPr="00AE0D77">
        <w:rPr>
          <w:rFonts w:eastAsia="標楷體"/>
          <w:kern w:val="0"/>
          <w:sz w:val="28"/>
          <w:szCs w:val="20"/>
        </w:rPr>
        <w:t>109.63</w:t>
      </w:r>
      <w:r w:rsidRPr="00AE0D77">
        <w:rPr>
          <w:rFonts w:eastAsia="標楷體"/>
          <w:kern w:val="0"/>
          <w:sz w:val="28"/>
          <w:szCs w:val="20"/>
        </w:rPr>
        <w:t>，較上年同月增加</w:t>
      </w:r>
      <w:r w:rsidRPr="00AE0D77">
        <w:rPr>
          <w:rFonts w:eastAsia="標楷體"/>
          <w:kern w:val="0"/>
          <w:sz w:val="28"/>
          <w:szCs w:val="20"/>
        </w:rPr>
        <w:t>0.78%</w:t>
      </w:r>
      <w:r w:rsidRPr="00AE0D77">
        <w:rPr>
          <w:rFonts w:eastAsia="標楷體"/>
          <w:kern w:val="0"/>
          <w:sz w:val="28"/>
          <w:szCs w:val="20"/>
        </w:rPr>
        <w:t>。其中，用水供應業與製造業分別增加</w:t>
      </w:r>
      <w:r w:rsidRPr="00AE0D77">
        <w:rPr>
          <w:rFonts w:eastAsia="標楷體"/>
          <w:kern w:val="0"/>
          <w:sz w:val="28"/>
          <w:szCs w:val="20"/>
        </w:rPr>
        <w:t>4.82%</w:t>
      </w:r>
      <w:r w:rsidRPr="00AE0D77">
        <w:rPr>
          <w:rFonts w:eastAsia="標楷體"/>
          <w:kern w:val="0"/>
          <w:sz w:val="28"/>
          <w:szCs w:val="20"/>
        </w:rPr>
        <w:t>及</w:t>
      </w:r>
      <w:r w:rsidRPr="00AE0D77">
        <w:rPr>
          <w:rFonts w:eastAsia="標楷體"/>
          <w:kern w:val="0"/>
          <w:sz w:val="28"/>
          <w:szCs w:val="20"/>
        </w:rPr>
        <w:t>2.02%</w:t>
      </w:r>
      <w:r w:rsidRPr="00AE0D77">
        <w:rPr>
          <w:rFonts w:eastAsia="標楷體"/>
          <w:kern w:val="0"/>
          <w:sz w:val="28"/>
          <w:szCs w:val="20"/>
        </w:rPr>
        <w:t>，建築工程業、礦業及土石採取業與電力及燃氣供應業則分別減少</w:t>
      </w:r>
      <w:r w:rsidRPr="00AE0D77">
        <w:rPr>
          <w:rFonts w:eastAsia="標楷體"/>
          <w:kern w:val="0"/>
          <w:sz w:val="28"/>
          <w:szCs w:val="20"/>
        </w:rPr>
        <w:t>1.56%</w:t>
      </w:r>
      <w:r w:rsidRPr="00AE0D77">
        <w:rPr>
          <w:rFonts w:eastAsia="標楷體"/>
          <w:kern w:val="0"/>
          <w:sz w:val="28"/>
          <w:szCs w:val="20"/>
        </w:rPr>
        <w:t>、</w:t>
      </w:r>
      <w:r w:rsidRPr="00AE0D77">
        <w:rPr>
          <w:rFonts w:eastAsia="標楷體"/>
          <w:kern w:val="0"/>
          <w:sz w:val="28"/>
          <w:szCs w:val="20"/>
        </w:rPr>
        <w:t>8.18%</w:t>
      </w:r>
      <w:r w:rsidRPr="00AE0D77">
        <w:rPr>
          <w:rFonts w:eastAsia="標楷體"/>
          <w:kern w:val="0"/>
          <w:sz w:val="28"/>
          <w:szCs w:val="20"/>
        </w:rPr>
        <w:t>及</w:t>
      </w:r>
      <w:r w:rsidRPr="00AE0D77">
        <w:rPr>
          <w:rFonts w:eastAsia="標楷體"/>
          <w:kern w:val="0"/>
          <w:sz w:val="28"/>
          <w:szCs w:val="20"/>
        </w:rPr>
        <w:t>26.73%</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Pr="00AE0D77">
        <w:rPr>
          <w:rFonts w:eastAsia="標楷體"/>
          <w:kern w:val="0"/>
          <w:sz w:val="28"/>
          <w:szCs w:val="20"/>
        </w:rPr>
        <w:t>5</w:t>
      </w:r>
      <w:r w:rsidRPr="00AE0D77">
        <w:rPr>
          <w:rFonts w:eastAsia="標楷體"/>
          <w:kern w:val="0"/>
          <w:sz w:val="28"/>
          <w:szCs w:val="20"/>
        </w:rPr>
        <w:t>月工業生產指數</w:t>
      </w:r>
      <w:r w:rsidRPr="00AE0D77">
        <w:rPr>
          <w:rFonts w:eastAsia="標楷體"/>
          <w:kern w:val="0"/>
          <w:sz w:val="28"/>
          <w:szCs w:val="20"/>
        </w:rPr>
        <w:t>105.20</w:t>
      </w:r>
      <w:r w:rsidRPr="00AE0D77">
        <w:rPr>
          <w:rFonts w:eastAsia="標楷體"/>
          <w:kern w:val="0"/>
          <w:sz w:val="28"/>
          <w:szCs w:val="20"/>
        </w:rPr>
        <w:t>，較上年同期增加</w:t>
      </w:r>
      <w:r w:rsidRPr="00AE0D77">
        <w:rPr>
          <w:rFonts w:eastAsia="標楷體"/>
          <w:kern w:val="0"/>
          <w:sz w:val="28"/>
          <w:szCs w:val="20"/>
        </w:rPr>
        <w:t>3.24%</w:t>
      </w:r>
      <w:r w:rsidR="00716D34" w:rsidRPr="00AE0D77">
        <w:rPr>
          <w:rFonts w:eastAsia="標楷體"/>
          <w:kern w:val="0"/>
          <w:sz w:val="28"/>
          <w:szCs w:val="20"/>
        </w:rPr>
        <w:t>。</w:t>
      </w:r>
    </w:p>
    <w:p w:rsidR="0092552F" w:rsidRPr="00AE0D77" w:rsidRDefault="0092552F" w:rsidP="0092552F">
      <w:pPr>
        <w:widowControl/>
        <w:topLinePunct/>
        <w:snapToGrid w:val="0"/>
        <w:spacing w:beforeLines="50" w:before="180" w:line="300" w:lineRule="auto"/>
        <w:ind w:rightChars="-59" w:right="-142" w:firstLineChars="202" w:firstLine="566"/>
        <w:jc w:val="both"/>
        <w:rPr>
          <w:rFonts w:eastAsia="標楷體"/>
          <w:kern w:val="0"/>
          <w:sz w:val="28"/>
          <w:szCs w:val="20"/>
        </w:rPr>
      </w:pPr>
    </w:p>
    <w:p w:rsidR="00F67965" w:rsidRPr="00AE0D77" w:rsidRDefault="00F67965" w:rsidP="00F67965">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031355" w:rsidRPr="00AE0D77" w:rsidTr="00031355">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31355" w:rsidRPr="00AE0D77" w:rsidRDefault="00031355">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31355" w:rsidRPr="00AE0D77" w:rsidRDefault="00031355">
            <w:pPr>
              <w:snapToGrid w:val="0"/>
              <w:spacing w:line="260" w:lineRule="exact"/>
              <w:ind w:left="28"/>
              <w:jc w:val="center"/>
              <w:rPr>
                <w:rFonts w:eastAsia="標楷體"/>
                <w:szCs w:val="28"/>
              </w:rPr>
            </w:pPr>
          </w:p>
          <w:p w:rsidR="00031355" w:rsidRPr="00AE0D77" w:rsidRDefault="00031355">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031355" w:rsidRPr="00AE0D77" w:rsidRDefault="00031355">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031355" w:rsidRPr="00AE0D77" w:rsidRDefault="00031355">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031355" w:rsidRPr="00AE0D77" w:rsidRDefault="00031355">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031355" w:rsidRPr="00AE0D77" w:rsidRDefault="00031355">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031355" w:rsidRPr="00AE0D77" w:rsidRDefault="00031355">
            <w:pPr>
              <w:snapToGrid w:val="0"/>
              <w:spacing w:line="260" w:lineRule="exact"/>
              <w:ind w:left="28"/>
              <w:jc w:val="center"/>
              <w:rPr>
                <w:rFonts w:eastAsia="標楷體"/>
              </w:rPr>
            </w:pPr>
          </w:p>
        </w:tc>
      </w:tr>
      <w:tr w:rsidR="00031355" w:rsidRPr="00AE0D77" w:rsidTr="00031355">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031355" w:rsidRPr="00AE0D77" w:rsidRDefault="00031355">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31355" w:rsidRPr="00AE0D77" w:rsidRDefault="00031355">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31355" w:rsidRPr="00AE0D77" w:rsidRDefault="00031355">
            <w:pPr>
              <w:snapToGrid w:val="0"/>
              <w:spacing w:line="260" w:lineRule="exact"/>
              <w:ind w:left="28"/>
              <w:jc w:val="center"/>
              <w:rPr>
                <w:rFonts w:eastAsia="標楷體"/>
              </w:rPr>
            </w:pPr>
            <w:r w:rsidRPr="00AE0D77">
              <w:rPr>
                <w:rFonts w:eastAsia="標楷體"/>
              </w:rPr>
              <w:t>礦業及土石</w:t>
            </w:r>
          </w:p>
          <w:p w:rsidR="00031355" w:rsidRPr="00AE0D77" w:rsidRDefault="00031355">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31355" w:rsidRPr="00AE0D77" w:rsidRDefault="00031355">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31355" w:rsidRPr="00AE0D77" w:rsidRDefault="00031355">
            <w:pPr>
              <w:snapToGrid w:val="0"/>
              <w:spacing w:line="260" w:lineRule="exact"/>
              <w:ind w:left="28"/>
              <w:jc w:val="center"/>
              <w:rPr>
                <w:rFonts w:eastAsia="標楷體"/>
              </w:rPr>
            </w:pPr>
            <w:r w:rsidRPr="00AE0D77">
              <w:rPr>
                <w:rFonts w:eastAsia="標楷體"/>
              </w:rPr>
              <w:t>用水</w:t>
            </w:r>
          </w:p>
          <w:p w:rsidR="00031355" w:rsidRPr="00AE0D77" w:rsidRDefault="00031355">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031355" w:rsidRPr="00AE0D77" w:rsidRDefault="00031355">
            <w:pPr>
              <w:snapToGrid w:val="0"/>
              <w:spacing w:line="260" w:lineRule="exact"/>
              <w:ind w:left="28"/>
              <w:jc w:val="center"/>
              <w:rPr>
                <w:rFonts w:eastAsia="標楷體"/>
              </w:rPr>
            </w:pPr>
            <w:r w:rsidRPr="00AE0D77">
              <w:rPr>
                <w:rFonts w:eastAsia="標楷體"/>
              </w:rPr>
              <w:t>建築</w:t>
            </w:r>
          </w:p>
          <w:p w:rsidR="00031355" w:rsidRPr="00AE0D77" w:rsidRDefault="00031355">
            <w:pPr>
              <w:snapToGrid w:val="0"/>
              <w:spacing w:line="260" w:lineRule="exact"/>
              <w:ind w:left="28"/>
              <w:jc w:val="center"/>
              <w:rPr>
                <w:rFonts w:eastAsia="標楷體"/>
              </w:rPr>
            </w:pPr>
            <w:r w:rsidRPr="00AE0D77">
              <w:rPr>
                <w:rFonts w:eastAsia="標楷體"/>
              </w:rPr>
              <w:t>工程業</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jc w:val="both"/>
              <w:rPr>
                <w:rFonts w:eastAsia="標楷體"/>
                <w:spacing w:val="-6"/>
              </w:rPr>
            </w:pPr>
            <w:r w:rsidRPr="00AE0D77">
              <w:rPr>
                <w:rFonts w:eastAsia="標楷體"/>
                <w:b/>
                <w:bCs/>
              </w:rPr>
              <w:t xml:space="preserve"> 101</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031355" w:rsidRPr="00AE0D77" w:rsidRDefault="00031355">
            <w:pPr>
              <w:snapToGrid w:val="0"/>
              <w:spacing w:line="380" w:lineRule="exact"/>
              <w:ind w:rightChars="100" w:right="240"/>
              <w:jc w:val="right"/>
              <w:rPr>
                <w:rFonts w:eastAsia="標楷體"/>
                <w:b/>
                <w:bCs/>
              </w:rPr>
            </w:pPr>
            <w:r w:rsidRPr="00AE0D77">
              <w:rPr>
                <w:rFonts w:eastAsia="標楷體"/>
                <w:b/>
                <w:bCs/>
              </w:rPr>
              <w:t>-0.25</w:t>
            </w:r>
          </w:p>
        </w:tc>
        <w:tc>
          <w:tcPr>
            <w:tcW w:w="1090" w:type="dxa"/>
            <w:tcMar>
              <w:top w:w="17" w:type="dxa"/>
              <w:left w:w="17" w:type="dxa"/>
              <w:bottom w:w="0" w:type="dxa"/>
              <w:right w:w="17" w:type="dxa"/>
            </w:tcMar>
            <w:vAlign w:val="center"/>
            <w:hideMark/>
          </w:tcPr>
          <w:p w:rsidR="00031355" w:rsidRPr="00AE0D77" w:rsidRDefault="00031355">
            <w:pPr>
              <w:snapToGrid w:val="0"/>
              <w:spacing w:line="380" w:lineRule="exact"/>
              <w:ind w:rightChars="98" w:right="235"/>
              <w:jc w:val="right"/>
              <w:rPr>
                <w:rFonts w:eastAsia="標楷體"/>
                <w:b/>
                <w:bCs/>
              </w:rPr>
            </w:pPr>
            <w:r w:rsidRPr="00AE0D77">
              <w:rPr>
                <w:rFonts w:eastAsia="標楷體"/>
                <w:b/>
                <w:bCs/>
              </w:rPr>
              <w:t>-0.32</w:t>
            </w:r>
          </w:p>
        </w:tc>
        <w:tc>
          <w:tcPr>
            <w:tcW w:w="1278" w:type="dxa"/>
            <w:tcMar>
              <w:top w:w="17" w:type="dxa"/>
              <w:left w:w="17" w:type="dxa"/>
              <w:bottom w:w="0" w:type="dxa"/>
              <w:right w:w="17" w:type="dxa"/>
            </w:tcMar>
            <w:vAlign w:val="center"/>
            <w:hideMark/>
          </w:tcPr>
          <w:p w:rsidR="00031355" w:rsidRPr="00AE0D77" w:rsidRDefault="00031355">
            <w:pPr>
              <w:snapToGrid w:val="0"/>
              <w:spacing w:line="380" w:lineRule="exact"/>
              <w:ind w:rightChars="120" w:right="288"/>
              <w:jc w:val="right"/>
              <w:rPr>
                <w:rFonts w:eastAsia="標楷體"/>
                <w:b/>
                <w:bCs/>
              </w:rPr>
            </w:pPr>
            <w:r w:rsidRPr="00AE0D77">
              <w:rPr>
                <w:rFonts w:eastAsia="標楷體"/>
                <w:b/>
                <w:bCs/>
              </w:rPr>
              <w:t>-2.73</w:t>
            </w:r>
          </w:p>
        </w:tc>
        <w:tc>
          <w:tcPr>
            <w:tcW w:w="1160" w:type="dxa"/>
            <w:tcMar>
              <w:top w:w="17" w:type="dxa"/>
              <w:left w:w="17" w:type="dxa"/>
              <w:bottom w:w="0" w:type="dxa"/>
              <w:right w:w="17" w:type="dxa"/>
            </w:tcMar>
            <w:vAlign w:val="center"/>
            <w:hideMark/>
          </w:tcPr>
          <w:p w:rsidR="00031355" w:rsidRPr="00AE0D77" w:rsidRDefault="00031355">
            <w:pPr>
              <w:snapToGrid w:val="0"/>
              <w:spacing w:line="380" w:lineRule="exact"/>
              <w:ind w:rightChars="127" w:right="305"/>
              <w:jc w:val="right"/>
              <w:rPr>
                <w:rFonts w:eastAsia="標楷體"/>
                <w:b/>
                <w:bCs/>
              </w:rPr>
            </w:pPr>
            <w:r w:rsidRPr="00AE0D77">
              <w:rPr>
                <w:rFonts w:eastAsia="標楷體"/>
                <w:b/>
                <w:bCs/>
              </w:rPr>
              <w:t>-0.82</w:t>
            </w:r>
          </w:p>
        </w:tc>
        <w:tc>
          <w:tcPr>
            <w:tcW w:w="1113" w:type="dxa"/>
            <w:tcMar>
              <w:top w:w="17" w:type="dxa"/>
              <w:left w:w="17" w:type="dxa"/>
              <w:bottom w:w="0" w:type="dxa"/>
              <w:right w:w="17" w:type="dxa"/>
            </w:tcMar>
            <w:vAlign w:val="center"/>
            <w:hideMark/>
          </w:tcPr>
          <w:p w:rsidR="00031355" w:rsidRPr="00AE0D77" w:rsidRDefault="00031355">
            <w:pPr>
              <w:snapToGrid w:val="0"/>
              <w:spacing w:line="380" w:lineRule="exact"/>
              <w:ind w:rightChars="107" w:right="257"/>
              <w:jc w:val="right"/>
              <w:rPr>
                <w:rFonts w:eastAsia="標楷體"/>
                <w:b/>
                <w:bCs/>
              </w:rPr>
            </w:pPr>
            <w:r w:rsidRPr="00AE0D77">
              <w:rPr>
                <w:rFonts w:eastAsia="標楷體"/>
                <w:b/>
                <w:bCs/>
              </w:rPr>
              <w:t>-0.60</w:t>
            </w:r>
          </w:p>
        </w:tc>
        <w:tc>
          <w:tcPr>
            <w:tcW w:w="1007" w:type="dxa"/>
            <w:vAlign w:val="center"/>
            <w:hideMark/>
          </w:tcPr>
          <w:p w:rsidR="00031355" w:rsidRPr="00AE0D77" w:rsidRDefault="00031355">
            <w:pPr>
              <w:snapToGrid w:val="0"/>
              <w:spacing w:line="380" w:lineRule="exact"/>
              <w:ind w:rightChars="76" w:right="182"/>
              <w:jc w:val="right"/>
              <w:rPr>
                <w:rFonts w:eastAsia="標楷體"/>
                <w:b/>
                <w:bCs/>
              </w:rPr>
            </w:pPr>
            <w:r w:rsidRPr="00AE0D77">
              <w:rPr>
                <w:rFonts w:eastAsia="標楷體"/>
                <w:b/>
                <w:bCs/>
              </w:rPr>
              <w:t>7.12</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031355" w:rsidRPr="00AE0D77" w:rsidRDefault="00031355">
            <w:pPr>
              <w:snapToGrid w:val="0"/>
              <w:spacing w:line="380" w:lineRule="exact"/>
              <w:rPr>
                <w:rFonts w:eastAsia="標楷體"/>
                <w:b/>
                <w:bCs/>
              </w:rPr>
            </w:pPr>
            <w:r w:rsidRPr="00AE0D77">
              <w:rPr>
                <w:rFonts w:eastAsia="標楷體"/>
                <w:b/>
                <w:bCs/>
              </w:rPr>
              <w:t xml:space="preserve"> 102</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0.65</w:t>
            </w:r>
          </w:p>
        </w:tc>
        <w:tc>
          <w:tcPr>
            <w:tcW w:w="1090" w:type="dxa"/>
            <w:tcMar>
              <w:top w:w="17" w:type="dxa"/>
              <w:left w:w="17" w:type="dxa"/>
              <w:bottom w:w="0" w:type="dxa"/>
              <w:right w:w="17" w:type="dxa"/>
            </w:tcMar>
            <w:vAlign w:val="center"/>
            <w:hideMark/>
          </w:tcPr>
          <w:p w:rsidR="00031355" w:rsidRPr="00AE0D77" w:rsidRDefault="00031355">
            <w:pPr>
              <w:snapToGrid w:val="0"/>
              <w:spacing w:line="380" w:lineRule="exact"/>
              <w:ind w:rightChars="98" w:right="235"/>
              <w:jc w:val="right"/>
              <w:rPr>
                <w:rFonts w:eastAsia="標楷體"/>
                <w:b/>
              </w:rPr>
            </w:pPr>
            <w:r w:rsidRPr="00AE0D77">
              <w:rPr>
                <w:rFonts w:eastAsia="標楷體"/>
                <w:b/>
              </w:rPr>
              <w:t>0.56</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20" w:right="288"/>
              <w:jc w:val="right"/>
              <w:rPr>
                <w:rFonts w:eastAsia="標楷體"/>
                <w:b/>
              </w:rPr>
            </w:pPr>
            <w:r w:rsidRPr="00AE0D77">
              <w:rPr>
                <w:rFonts w:eastAsia="標楷體"/>
                <w:b/>
              </w:rPr>
              <w:t>-5.08</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27" w:right="305"/>
              <w:jc w:val="right"/>
              <w:rPr>
                <w:rFonts w:eastAsia="標楷體"/>
                <w:b/>
              </w:rPr>
            </w:pPr>
            <w:r w:rsidRPr="00AE0D77">
              <w:rPr>
                <w:rFonts w:eastAsia="標楷體"/>
                <w:b/>
              </w:rPr>
              <w:t>2.10</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7" w:right="257"/>
              <w:jc w:val="right"/>
              <w:rPr>
                <w:rFonts w:eastAsia="標楷體"/>
                <w:b/>
              </w:rPr>
            </w:pPr>
            <w:r w:rsidRPr="00AE0D77">
              <w:rPr>
                <w:rFonts w:eastAsia="標楷體"/>
                <w:b/>
              </w:rPr>
              <w:t>0.70</w:t>
            </w:r>
          </w:p>
        </w:tc>
        <w:tc>
          <w:tcPr>
            <w:tcW w:w="1007" w:type="dxa"/>
            <w:hideMark/>
          </w:tcPr>
          <w:p w:rsidR="00031355" w:rsidRPr="00AE0D77" w:rsidRDefault="00031355">
            <w:pPr>
              <w:snapToGrid w:val="0"/>
              <w:spacing w:line="380" w:lineRule="exact"/>
              <w:ind w:rightChars="76" w:right="182"/>
              <w:jc w:val="right"/>
              <w:rPr>
                <w:rFonts w:eastAsia="標楷體"/>
                <w:b/>
                <w:bCs/>
              </w:rPr>
            </w:pPr>
            <w:r w:rsidRPr="00AE0D77">
              <w:rPr>
                <w:rFonts w:eastAsia="標楷體"/>
                <w:b/>
                <w:bCs/>
              </w:rPr>
              <w:t>3.69</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031355" w:rsidRPr="00AE0D77" w:rsidRDefault="00031355">
            <w:pPr>
              <w:snapToGrid w:val="0"/>
              <w:spacing w:line="380" w:lineRule="exact"/>
              <w:rPr>
                <w:rFonts w:eastAsia="標楷體"/>
                <w:b/>
                <w:bCs/>
              </w:rPr>
            </w:pPr>
            <w:r w:rsidRPr="00AE0D77">
              <w:rPr>
                <w:rFonts w:eastAsia="標楷體"/>
                <w:b/>
                <w:bCs/>
              </w:rPr>
              <w:t xml:space="preserve"> 103</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6.37</w:t>
            </w:r>
          </w:p>
        </w:tc>
        <w:tc>
          <w:tcPr>
            <w:tcW w:w="1090" w:type="dxa"/>
            <w:tcMar>
              <w:top w:w="17" w:type="dxa"/>
              <w:left w:w="17" w:type="dxa"/>
              <w:bottom w:w="0" w:type="dxa"/>
              <w:right w:w="17" w:type="dxa"/>
            </w:tcMar>
            <w:vAlign w:val="center"/>
            <w:hideMark/>
          </w:tcPr>
          <w:p w:rsidR="00031355" w:rsidRPr="00AE0D77" w:rsidRDefault="00031355">
            <w:pPr>
              <w:snapToGrid w:val="0"/>
              <w:spacing w:line="380" w:lineRule="exact"/>
              <w:ind w:rightChars="98" w:right="235"/>
              <w:jc w:val="right"/>
              <w:rPr>
                <w:rFonts w:eastAsia="標楷體"/>
                <w:b/>
              </w:rPr>
            </w:pPr>
            <w:r w:rsidRPr="00AE0D77">
              <w:rPr>
                <w:rFonts w:eastAsia="標楷體"/>
                <w:b/>
              </w:rPr>
              <w:t>6.63</w:t>
            </w:r>
          </w:p>
        </w:tc>
        <w:tc>
          <w:tcPr>
            <w:tcW w:w="1278" w:type="dxa"/>
            <w:tcMar>
              <w:top w:w="17" w:type="dxa"/>
              <w:left w:w="17" w:type="dxa"/>
              <w:bottom w:w="0" w:type="dxa"/>
              <w:right w:w="17" w:type="dxa"/>
            </w:tcMar>
            <w:vAlign w:val="bottom"/>
            <w:hideMark/>
          </w:tcPr>
          <w:p w:rsidR="00031355" w:rsidRPr="00AE0D77" w:rsidRDefault="00031355">
            <w:pPr>
              <w:snapToGrid w:val="0"/>
              <w:spacing w:line="380" w:lineRule="exact"/>
              <w:ind w:rightChars="120" w:right="288"/>
              <w:jc w:val="right"/>
              <w:rPr>
                <w:rFonts w:eastAsia="標楷體"/>
                <w:b/>
              </w:rPr>
            </w:pPr>
            <w:r w:rsidRPr="00AE0D77">
              <w:rPr>
                <w:rFonts w:eastAsia="標楷體"/>
                <w:b/>
              </w:rPr>
              <w:t>-1.77</w:t>
            </w:r>
          </w:p>
        </w:tc>
        <w:tc>
          <w:tcPr>
            <w:tcW w:w="1160" w:type="dxa"/>
            <w:tcMar>
              <w:top w:w="17" w:type="dxa"/>
              <w:left w:w="17" w:type="dxa"/>
              <w:bottom w:w="0" w:type="dxa"/>
              <w:right w:w="17" w:type="dxa"/>
            </w:tcMar>
            <w:vAlign w:val="bottom"/>
            <w:hideMark/>
          </w:tcPr>
          <w:p w:rsidR="00031355" w:rsidRPr="00AE0D77" w:rsidRDefault="00031355">
            <w:pPr>
              <w:snapToGrid w:val="0"/>
              <w:spacing w:line="380" w:lineRule="exact"/>
              <w:ind w:rightChars="127" w:right="305"/>
              <w:jc w:val="right"/>
              <w:rPr>
                <w:rFonts w:eastAsia="標楷體"/>
                <w:b/>
              </w:rPr>
            </w:pPr>
            <w:r w:rsidRPr="00AE0D77">
              <w:rPr>
                <w:rFonts w:eastAsia="標楷體"/>
                <w:b/>
              </w:rPr>
              <w:t>1.25</w:t>
            </w:r>
          </w:p>
        </w:tc>
        <w:tc>
          <w:tcPr>
            <w:tcW w:w="1113" w:type="dxa"/>
            <w:tcMar>
              <w:top w:w="17" w:type="dxa"/>
              <w:left w:w="17" w:type="dxa"/>
              <w:bottom w:w="0" w:type="dxa"/>
              <w:right w:w="17" w:type="dxa"/>
            </w:tcMar>
            <w:vAlign w:val="bottom"/>
            <w:hideMark/>
          </w:tcPr>
          <w:p w:rsidR="00031355" w:rsidRPr="00AE0D77" w:rsidRDefault="00031355">
            <w:pPr>
              <w:snapToGrid w:val="0"/>
              <w:spacing w:line="380" w:lineRule="exact"/>
              <w:ind w:rightChars="107" w:right="257"/>
              <w:jc w:val="right"/>
              <w:rPr>
                <w:rFonts w:eastAsia="標楷體"/>
                <w:b/>
              </w:rPr>
            </w:pPr>
            <w:r w:rsidRPr="00AE0D77">
              <w:rPr>
                <w:rFonts w:eastAsia="標楷體"/>
                <w:b/>
              </w:rPr>
              <w:t>0.51</w:t>
            </w:r>
          </w:p>
        </w:tc>
        <w:tc>
          <w:tcPr>
            <w:tcW w:w="1007" w:type="dxa"/>
            <w:vAlign w:val="bottom"/>
            <w:hideMark/>
          </w:tcPr>
          <w:p w:rsidR="00031355" w:rsidRPr="00AE0D77" w:rsidRDefault="00031355">
            <w:pPr>
              <w:tabs>
                <w:tab w:val="left" w:pos="798"/>
              </w:tabs>
              <w:snapToGrid w:val="0"/>
              <w:spacing w:line="380" w:lineRule="exact"/>
              <w:ind w:rightChars="76" w:right="182"/>
              <w:jc w:val="right"/>
              <w:rPr>
                <w:rFonts w:eastAsia="標楷體"/>
                <w:b/>
              </w:rPr>
            </w:pPr>
            <w:r w:rsidRPr="00AE0D77">
              <w:rPr>
                <w:rFonts w:eastAsia="標楷體"/>
                <w:b/>
              </w:rPr>
              <w:t>10.56</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031355" w:rsidRPr="00AE0D77" w:rsidRDefault="00031355">
            <w:pPr>
              <w:snapToGrid w:val="0"/>
              <w:spacing w:line="380" w:lineRule="exact"/>
              <w:rPr>
                <w:rFonts w:eastAsia="標楷體"/>
                <w:b/>
                <w:bCs/>
              </w:rPr>
            </w:pPr>
            <w:r w:rsidRPr="00AE0D77">
              <w:rPr>
                <w:rFonts w:eastAsia="標楷體"/>
                <w:b/>
                <w:bCs/>
              </w:rPr>
              <w:t xml:space="preserve"> 104</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-1.75</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-1.49</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-7.36</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-8.63</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-2.08</w:t>
            </w:r>
          </w:p>
        </w:tc>
        <w:tc>
          <w:tcPr>
            <w:tcW w:w="1007" w:type="dxa"/>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3.57</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031355" w:rsidRPr="00AE0D77" w:rsidRDefault="00031355">
            <w:pPr>
              <w:snapToGrid w:val="0"/>
              <w:spacing w:line="380" w:lineRule="exact"/>
              <w:rPr>
                <w:rFonts w:eastAsia="標楷體"/>
                <w:b/>
                <w:bCs/>
              </w:rPr>
            </w:pPr>
            <w:r w:rsidRPr="00AE0D77">
              <w:rPr>
                <w:rFonts w:eastAsia="標楷體"/>
                <w:b/>
                <w:bCs/>
              </w:rPr>
              <w:t xml:space="preserve"> 105</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1.53</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1.99</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-9.03</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-3.01</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0.50</w:t>
            </w:r>
          </w:p>
        </w:tc>
        <w:tc>
          <w:tcPr>
            <w:tcW w:w="1007" w:type="dxa"/>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-9.11</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2.17</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2.13</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0.62</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11.25</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1.69</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-12.84</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6</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1.21</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1.88</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-7.17</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-9.48</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-2.15</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-5.31</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7</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-0.17</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0.80</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-8.12</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-6.46</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-1.73</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-29.63</w:t>
            </w:r>
          </w:p>
        </w:tc>
      </w:tr>
      <w:tr w:rsidR="00031355" w:rsidRPr="00AE0D77" w:rsidTr="00031355">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8</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7.89</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8.51</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8.75</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-11.02</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1.47</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28.12</w:t>
            </w:r>
          </w:p>
        </w:tc>
      </w:tr>
      <w:tr w:rsidR="00031355" w:rsidRPr="00AE0D77" w:rsidTr="00031355">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9</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4.20</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5.65</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-12.32</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-14.00</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1.53</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-18.48</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3.25</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5.17</w:t>
            </w:r>
          </w:p>
        </w:tc>
        <w:tc>
          <w:tcPr>
            <w:tcW w:w="1278" w:type="dxa"/>
            <w:tcMar>
              <w:top w:w="17" w:type="dxa"/>
              <w:left w:w="17" w:type="dxa"/>
              <w:bottom w:w="0" w:type="dxa"/>
              <w:right w:w="17" w:type="dxa"/>
            </w:tcMar>
            <w:vAlign w:val="bottom"/>
            <w:hideMark/>
          </w:tcPr>
          <w:p w:rsidR="00031355" w:rsidRPr="00AE0D77" w:rsidRDefault="00031355">
            <w:pPr>
              <w:snapToGrid w:val="0"/>
              <w:spacing w:line="380" w:lineRule="exact"/>
              <w:ind w:rightChars="100" w:right="240"/>
              <w:jc w:val="right"/>
              <w:rPr>
                <w:rFonts w:eastAsia="標楷體"/>
              </w:rPr>
            </w:pPr>
            <w:r w:rsidRPr="00AE0D77">
              <w:rPr>
                <w:rFonts w:eastAsia="標楷體"/>
              </w:rPr>
              <w:t>-15.29</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-13.90</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1.62</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-34.85</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8.94</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10.46</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-8.88</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-12.66</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0.77</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-10.35</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6.25</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7.41</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-8.44</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-3.29</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-1.61</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-20.68</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rPr>
                <w:rFonts w:eastAsia="標楷體"/>
                <w:spacing w:val="-6"/>
              </w:rPr>
            </w:pPr>
            <w:r w:rsidRPr="00AE0D77">
              <w:rPr>
                <w:rFonts w:eastAsia="標楷體"/>
                <w:b/>
                <w:bCs/>
              </w:rPr>
              <w:t>106</w:t>
            </w:r>
            <w:r w:rsidRPr="00AE0D77">
              <w:rPr>
                <w:rFonts w:eastAsia="標楷體"/>
                <w:b/>
                <w:bCs/>
              </w:rPr>
              <w:t>年</w:t>
            </w:r>
            <w:r w:rsidRPr="00AE0D77">
              <w:rPr>
                <w:rFonts w:eastAsia="標楷體"/>
                <w:b/>
                <w:bCs/>
              </w:rPr>
              <w:t>1~5</w:t>
            </w:r>
            <w:r w:rsidRPr="00AE0D77">
              <w:rPr>
                <w:rFonts w:eastAsia="標楷體"/>
                <w:b/>
                <w:bCs/>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3.24</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4.88</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-3.01</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-27.40</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1.11</w:t>
            </w:r>
          </w:p>
        </w:tc>
        <w:tc>
          <w:tcPr>
            <w:tcW w:w="1007" w:type="dxa"/>
            <w:hideMark/>
          </w:tcPr>
          <w:p w:rsidR="00031355" w:rsidRPr="00AE0D77" w:rsidRDefault="00031355">
            <w:pPr>
              <w:snapToGrid w:val="0"/>
              <w:spacing w:line="380" w:lineRule="exact"/>
              <w:ind w:rightChars="100" w:right="240"/>
              <w:jc w:val="right"/>
              <w:rPr>
                <w:rFonts w:eastAsia="標楷體"/>
                <w:b/>
              </w:rPr>
            </w:pPr>
            <w:r w:rsidRPr="00AE0D77">
              <w:rPr>
                <w:rFonts w:eastAsia="標楷體"/>
                <w:b/>
              </w:rPr>
              <w:t>-6.77</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1</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2.46</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3.46</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-2.63</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-23.15</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0.96</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12.45</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2</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10.71</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14.08</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2.81</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-27.87</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-3.33</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-43.70</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3</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3.22</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4.70</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-1.84</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-27.08</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2.22</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0.90</w:t>
            </w:r>
          </w:p>
        </w:tc>
      </w:tr>
      <w:tr w:rsidR="00031355" w:rsidRPr="00AE0D77" w:rsidTr="00031355">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4</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-0.59</w:t>
            </w:r>
          </w:p>
        </w:tc>
        <w:tc>
          <w:tcPr>
            <w:tcW w:w="109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0.79</w:t>
            </w:r>
          </w:p>
        </w:tc>
        <w:tc>
          <w:tcPr>
            <w:tcW w:w="1278"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-2.97</w:t>
            </w:r>
          </w:p>
        </w:tc>
        <w:tc>
          <w:tcPr>
            <w:tcW w:w="1160"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-30.46</w:t>
            </w:r>
          </w:p>
        </w:tc>
        <w:tc>
          <w:tcPr>
            <w:tcW w:w="1113" w:type="dxa"/>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0.59</w:t>
            </w:r>
          </w:p>
        </w:tc>
        <w:tc>
          <w:tcPr>
            <w:tcW w:w="1007" w:type="dxa"/>
            <w:hideMark/>
          </w:tcPr>
          <w:p w:rsidR="00031355" w:rsidRPr="00AE0D77" w:rsidRDefault="00031355">
            <w:pPr>
              <w:snapToGrid w:val="0"/>
              <w:spacing w:line="380" w:lineRule="exact"/>
              <w:ind w:rightChars="100" w:right="240"/>
              <w:jc w:val="right"/>
              <w:rPr>
                <w:rFonts w:eastAsia="標楷體"/>
              </w:rPr>
            </w:pPr>
            <w:r w:rsidRPr="00AE0D77">
              <w:rPr>
                <w:rFonts w:eastAsia="標楷體"/>
              </w:rPr>
              <w:t>-1.62</w:t>
            </w:r>
          </w:p>
        </w:tc>
      </w:tr>
      <w:tr w:rsidR="00031355" w:rsidRPr="00AE0D77" w:rsidTr="00031355">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hideMark/>
          </w:tcPr>
          <w:p w:rsidR="00031355" w:rsidRPr="00AE0D77" w:rsidRDefault="00031355">
            <w:pPr>
              <w:snapToGrid w:val="0"/>
              <w:spacing w:line="38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0.78</w:t>
            </w:r>
          </w:p>
        </w:tc>
        <w:tc>
          <w:tcPr>
            <w:tcW w:w="1090" w:type="dxa"/>
            <w:tcBorders>
              <w:top w:val="nil"/>
              <w:left w:val="nil"/>
              <w:bottom w:val="single" w:sz="4" w:space="0" w:color="auto"/>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2.02</w:t>
            </w:r>
          </w:p>
        </w:tc>
        <w:tc>
          <w:tcPr>
            <w:tcW w:w="1278" w:type="dxa"/>
            <w:tcBorders>
              <w:top w:val="nil"/>
              <w:left w:val="nil"/>
              <w:bottom w:val="single" w:sz="4" w:space="0" w:color="auto"/>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-8.18</w:t>
            </w:r>
          </w:p>
        </w:tc>
        <w:tc>
          <w:tcPr>
            <w:tcW w:w="1160" w:type="dxa"/>
            <w:tcBorders>
              <w:top w:val="nil"/>
              <w:left w:val="nil"/>
              <w:bottom w:val="single" w:sz="4" w:space="0" w:color="auto"/>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-26.73</w:t>
            </w:r>
          </w:p>
        </w:tc>
        <w:tc>
          <w:tcPr>
            <w:tcW w:w="1113" w:type="dxa"/>
            <w:tcBorders>
              <w:top w:val="nil"/>
              <w:left w:val="nil"/>
              <w:bottom w:val="single" w:sz="4" w:space="0" w:color="auto"/>
              <w:right w:val="nil"/>
            </w:tcBorders>
            <w:tcMar>
              <w:top w:w="17" w:type="dxa"/>
              <w:left w:w="17" w:type="dxa"/>
              <w:bottom w:w="0" w:type="dxa"/>
              <w:right w:w="17" w:type="dxa"/>
            </w:tcMar>
            <w:hideMark/>
          </w:tcPr>
          <w:p w:rsidR="00031355" w:rsidRPr="00AE0D77" w:rsidRDefault="00031355">
            <w:pPr>
              <w:snapToGrid w:val="0"/>
              <w:spacing w:line="380" w:lineRule="exact"/>
              <w:ind w:rightChars="100" w:right="240"/>
              <w:jc w:val="right"/>
              <w:rPr>
                <w:rFonts w:eastAsia="標楷體"/>
              </w:rPr>
            </w:pPr>
            <w:r w:rsidRPr="00AE0D77">
              <w:rPr>
                <w:rFonts w:eastAsia="標楷體"/>
              </w:rPr>
              <w:t>4.82</w:t>
            </w:r>
          </w:p>
        </w:tc>
        <w:tc>
          <w:tcPr>
            <w:tcW w:w="1007" w:type="dxa"/>
            <w:tcBorders>
              <w:top w:val="nil"/>
              <w:left w:val="nil"/>
              <w:bottom w:val="single" w:sz="4" w:space="0" w:color="auto"/>
              <w:right w:val="nil"/>
            </w:tcBorders>
            <w:hideMark/>
          </w:tcPr>
          <w:p w:rsidR="00031355" w:rsidRPr="00AE0D77" w:rsidRDefault="00031355">
            <w:pPr>
              <w:snapToGrid w:val="0"/>
              <w:spacing w:line="380" w:lineRule="exact"/>
              <w:ind w:rightChars="100" w:right="240"/>
              <w:jc w:val="right"/>
              <w:rPr>
                <w:rFonts w:eastAsia="標楷體"/>
              </w:rPr>
            </w:pPr>
            <w:r w:rsidRPr="00AE0D77">
              <w:rPr>
                <w:rFonts w:eastAsia="標楷體"/>
              </w:rPr>
              <w:t>-1.56</w:t>
            </w:r>
          </w:p>
        </w:tc>
      </w:tr>
    </w:tbl>
    <w:p w:rsidR="00F67965" w:rsidRPr="00AE0D77" w:rsidRDefault="00F67965" w:rsidP="00F67965">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bookmarkEnd w:id="93"/>
    <w:p w:rsidR="00AE7AC0" w:rsidRPr="00AE0D77" w:rsidRDefault="00AE7AC0" w:rsidP="00AE7AC0">
      <w:pPr>
        <w:snapToGrid w:val="0"/>
        <w:spacing w:line="240" w:lineRule="atLeast"/>
        <w:ind w:right="-142"/>
        <w:jc w:val="both"/>
        <w:rPr>
          <w:rFonts w:eastAsia="標楷體"/>
          <w:b/>
          <w:bCs/>
          <w:sz w:val="28"/>
          <w:szCs w:val="28"/>
        </w:rPr>
      </w:pPr>
    </w:p>
    <w:p w:rsidR="00AE7AC0" w:rsidRPr="00AE0D77" w:rsidRDefault="00031355" w:rsidP="00AE7AC0">
      <w:pPr>
        <w:snapToGrid w:val="0"/>
        <w:spacing w:line="240" w:lineRule="atLeast"/>
        <w:ind w:right="-142"/>
        <w:jc w:val="both"/>
        <w:rPr>
          <w:rFonts w:eastAsia="標楷體"/>
          <w:b/>
          <w:bCs/>
          <w:sz w:val="28"/>
          <w:szCs w:val="28"/>
        </w:rPr>
      </w:pPr>
      <w:r w:rsidRPr="00AE0D77">
        <w:rPr>
          <w:rFonts w:eastAsia="標楷體"/>
          <w:noProof/>
        </w:rPr>
        <w:drawing>
          <wp:inline distT="0" distB="0" distL="0" distR="0" wp14:anchorId="5D797E4B" wp14:editId="18EEF956">
            <wp:extent cx="5400040" cy="1695638"/>
            <wp:effectExtent l="0" t="0" r="0"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7965" w:rsidRPr="00AE0D77" w:rsidRDefault="00F67965" w:rsidP="00AE7AC0">
      <w:pPr>
        <w:snapToGrid w:val="0"/>
        <w:spacing w:line="240" w:lineRule="atLeast"/>
        <w:ind w:right="-142"/>
        <w:jc w:val="both"/>
        <w:rPr>
          <w:rFonts w:eastAsia="標楷體"/>
          <w:b/>
          <w:bCs/>
          <w:sz w:val="28"/>
          <w:szCs w:val="28"/>
        </w:rPr>
      </w:pPr>
      <w:r w:rsidRPr="00AE0D77">
        <w:rPr>
          <w:rFonts w:eastAsia="標楷體"/>
          <w:b/>
          <w:bCs/>
          <w:sz w:val="28"/>
          <w:szCs w:val="28"/>
        </w:rPr>
        <w:t>２、</w:t>
      </w:r>
      <w:r w:rsidR="00031355" w:rsidRPr="00AE0D77">
        <w:rPr>
          <w:rFonts w:eastAsia="標楷體"/>
          <w:b/>
          <w:bCs/>
          <w:sz w:val="28"/>
          <w:szCs w:val="28"/>
        </w:rPr>
        <w:t>106</w:t>
      </w:r>
      <w:r w:rsidR="00031355" w:rsidRPr="00AE0D77">
        <w:rPr>
          <w:rFonts w:eastAsia="標楷體"/>
          <w:b/>
          <w:bCs/>
          <w:sz w:val="28"/>
          <w:szCs w:val="28"/>
        </w:rPr>
        <w:t>年</w:t>
      </w:r>
      <w:r w:rsidR="00031355" w:rsidRPr="00AE0D77">
        <w:rPr>
          <w:rFonts w:eastAsia="標楷體"/>
          <w:b/>
          <w:bCs/>
          <w:sz w:val="28"/>
          <w:szCs w:val="28"/>
        </w:rPr>
        <w:t>5</w:t>
      </w:r>
      <w:r w:rsidR="00031355" w:rsidRPr="00AE0D77">
        <w:rPr>
          <w:rFonts w:eastAsia="標楷體"/>
          <w:b/>
          <w:bCs/>
          <w:sz w:val="28"/>
          <w:szCs w:val="28"/>
        </w:rPr>
        <w:t>月製造業生產增加</w:t>
      </w:r>
      <w:r w:rsidR="00031355" w:rsidRPr="00AE0D77">
        <w:rPr>
          <w:rFonts w:eastAsia="標楷體"/>
          <w:b/>
          <w:bCs/>
          <w:sz w:val="28"/>
          <w:szCs w:val="28"/>
        </w:rPr>
        <w:t>2.02%</w:t>
      </w:r>
    </w:p>
    <w:p w:rsidR="00EA4F3F" w:rsidRPr="00AE0D77" w:rsidRDefault="00031355" w:rsidP="00EA4F3F">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月製造業生產指數</w:t>
      </w:r>
      <w:r w:rsidRPr="00AE0D77">
        <w:rPr>
          <w:rFonts w:eastAsia="標楷體"/>
          <w:kern w:val="0"/>
          <w:sz w:val="28"/>
          <w:szCs w:val="20"/>
        </w:rPr>
        <w:t>111.78</w:t>
      </w:r>
      <w:r w:rsidRPr="00AE0D77">
        <w:rPr>
          <w:rFonts w:eastAsia="標楷體"/>
          <w:kern w:val="0"/>
          <w:sz w:val="28"/>
          <w:szCs w:val="20"/>
        </w:rPr>
        <w:t>，較上年同月增加</w:t>
      </w:r>
      <w:r w:rsidRPr="00AE0D77">
        <w:rPr>
          <w:rFonts w:eastAsia="標楷體"/>
          <w:kern w:val="0"/>
          <w:sz w:val="28"/>
          <w:szCs w:val="20"/>
        </w:rPr>
        <w:t>2.02%</w:t>
      </w:r>
      <w:r w:rsidRPr="00AE0D77">
        <w:rPr>
          <w:rFonts w:eastAsia="標楷體"/>
          <w:kern w:val="0"/>
          <w:sz w:val="28"/>
          <w:szCs w:val="20"/>
        </w:rPr>
        <w:t>，其中，民生工業、資訊電子工業及金屬機電工業分別增加</w:t>
      </w:r>
      <w:r w:rsidRPr="00AE0D77">
        <w:rPr>
          <w:rFonts w:eastAsia="標楷體"/>
          <w:kern w:val="0"/>
          <w:sz w:val="28"/>
          <w:szCs w:val="20"/>
        </w:rPr>
        <w:t>5.75%</w:t>
      </w:r>
      <w:r w:rsidRPr="00AE0D77">
        <w:rPr>
          <w:rFonts w:eastAsia="標楷體"/>
          <w:kern w:val="0"/>
          <w:sz w:val="28"/>
          <w:szCs w:val="20"/>
        </w:rPr>
        <w:t>、</w:t>
      </w:r>
      <w:r w:rsidRPr="00AE0D77">
        <w:rPr>
          <w:rFonts w:eastAsia="標楷體"/>
          <w:kern w:val="0"/>
          <w:sz w:val="28"/>
          <w:szCs w:val="20"/>
        </w:rPr>
        <w:t>2.50%</w:t>
      </w:r>
      <w:r w:rsidRPr="00AE0D77">
        <w:rPr>
          <w:rFonts w:eastAsia="標楷體"/>
          <w:kern w:val="0"/>
          <w:sz w:val="28"/>
          <w:szCs w:val="20"/>
        </w:rPr>
        <w:t>及</w:t>
      </w:r>
      <w:r w:rsidRPr="00AE0D77">
        <w:rPr>
          <w:rFonts w:eastAsia="標楷體"/>
          <w:kern w:val="0"/>
          <w:sz w:val="28"/>
          <w:szCs w:val="20"/>
        </w:rPr>
        <w:t>1.66%</w:t>
      </w:r>
      <w:r w:rsidRPr="00AE0D77">
        <w:rPr>
          <w:rFonts w:eastAsia="標楷體"/>
          <w:kern w:val="0"/>
          <w:sz w:val="28"/>
          <w:szCs w:val="20"/>
        </w:rPr>
        <w:t>，化學工業則減少</w:t>
      </w:r>
      <w:r w:rsidRPr="00AE0D77">
        <w:rPr>
          <w:rFonts w:eastAsia="標楷體"/>
          <w:kern w:val="0"/>
          <w:sz w:val="28"/>
          <w:szCs w:val="20"/>
        </w:rPr>
        <w:t>0.26%</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Pr="00AE0D77">
        <w:rPr>
          <w:rFonts w:eastAsia="標楷體"/>
          <w:kern w:val="0"/>
          <w:sz w:val="28"/>
          <w:szCs w:val="20"/>
        </w:rPr>
        <w:t>5</w:t>
      </w:r>
      <w:r w:rsidRPr="00AE0D77">
        <w:rPr>
          <w:rFonts w:eastAsia="標楷體"/>
          <w:kern w:val="0"/>
          <w:sz w:val="28"/>
          <w:szCs w:val="20"/>
        </w:rPr>
        <w:t>月製造業生產指數</w:t>
      </w:r>
      <w:r w:rsidRPr="00AE0D77">
        <w:rPr>
          <w:rFonts w:eastAsia="標楷體"/>
          <w:kern w:val="0"/>
          <w:sz w:val="28"/>
          <w:szCs w:val="20"/>
        </w:rPr>
        <w:t>107.24</w:t>
      </w:r>
      <w:r w:rsidRPr="00AE0D77">
        <w:rPr>
          <w:rFonts w:eastAsia="標楷體"/>
          <w:kern w:val="0"/>
          <w:sz w:val="28"/>
          <w:szCs w:val="20"/>
        </w:rPr>
        <w:t>，較上年同期增加</w:t>
      </w:r>
      <w:r w:rsidRPr="00AE0D77">
        <w:rPr>
          <w:rFonts w:eastAsia="標楷體"/>
          <w:kern w:val="0"/>
          <w:sz w:val="28"/>
          <w:szCs w:val="20"/>
        </w:rPr>
        <w:t>4.88%</w:t>
      </w:r>
      <w:r w:rsidRPr="00AE0D77">
        <w:rPr>
          <w:rFonts w:eastAsia="標楷體"/>
          <w:kern w:val="0"/>
          <w:sz w:val="28"/>
          <w:szCs w:val="20"/>
        </w:rPr>
        <w:t>。</w:t>
      </w:r>
    </w:p>
    <w:p w:rsidR="00F67965" w:rsidRPr="00AE0D77" w:rsidRDefault="00F67965" w:rsidP="00EA4F3F">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440" w:type="dxa"/>
        <w:jc w:val="center"/>
        <w:tblCellMar>
          <w:left w:w="0" w:type="dxa"/>
          <w:right w:w="0" w:type="dxa"/>
        </w:tblCellMar>
        <w:tblLook w:val="04A0" w:firstRow="1" w:lastRow="0" w:firstColumn="1" w:lastColumn="0" w:noHBand="0" w:noVBand="1"/>
      </w:tblPr>
      <w:tblGrid>
        <w:gridCol w:w="1711"/>
        <w:gridCol w:w="1329"/>
        <w:gridCol w:w="1350"/>
        <w:gridCol w:w="1350"/>
        <w:gridCol w:w="1350"/>
        <w:gridCol w:w="1350"/>
      </w:tblGrid>
      <w:tr w:rsidR="00031355" w:rsidRPr="00AE0D77" w:rsidTr="00031355">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031355" w:rsidRPr="00AE0D77" w:rsidRDefault="00031355">
            <w:pPr>
              <w:snapToGrid w:val="0"/>
              <w:spacing w:line="240" w:lineRule="exact"/>
              <w:ind w:left="28"/>
              <w:jc w:val="center"/>
              <w:rPr>
                <w:rFonts w:eastAsia="標楷體"/>
              </w:rPr>
            </w:pPr>
            <w:r w:rsidRPr="00AE0D77">
              <w:rPr>
                <w:rFonts w:eastAsia="標楷體"/>
              </w:rPr>
              <w:t>年（月）</w:t>
            </w:r>
          </w:p>
        </w:tc>
        <w:tc>
          <w:tcPr>
            <w:tcW w:w="1329"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031355" w:rsidRPr="00AE0D77" w:rsidRDefault="00031355">
            <w:pPr>
              <w:snapToGrid w:val="0"/>
              <w:spacing w:line="240" w:lineRule="exact"/>
              <w:ind w:left="28"/>
              <w:jc w:val="center"/>
              <w:rPr>
                <w:rFonts w:eastAsia="標楷體"/>
              </w:rPr>
            </w:pPr>
            <w:r w:rsidRPr="00AE0D77">
              <w:rPr>
                <w:rFonts w:eastAsia="標楷體"/>
              </w:rPr>
              <w:t>製造業生產</w:t>
            </w:r>
          </w:p>
        </w:tc>
        <w:tc>
          <w:tcPr>
            <w:tcW w:w="540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031355" w:rsidRPr="00AE0D77" w:rsidRDefault="00031355">
            <w:pPr>
              <w:snapToGrid w:val="0"/>
              <w:spacing w:line="240" w:lineRule="exact"/>
              <w:ind w:left="28"/>
              <w:jc w:val="center"/>
              <w:rPr>
                <w:rFonts w:eastAsia="標楷體"/>
              </w:rPr>
            </w:pPr>
            <w:r w:rsidRPr="00AE0D77">
              <w:rPr>
                <w:rFonts w:eastAsia="標楷體"/>
              </w:rPr>
              <w:t>四大行業</w:t>
            </w:r>
          </w:p>
        </w:tc>
      </w:tr>
      <w:tr w:rsidR="00031355" w:rsidRPr="00AE0D77" w:rsidTr="00031355">
        <w:trPr>
          <w:cantSplit/>
          <w:trHeight w:val="405"/>
          <w:jc w:val="center"/>
        </w:trPr>
        <w:tc>
          <w:tcPr>
            <w:tcW w:w="0" w:type="auto"/>
            <w:vMerge/>
            <w:tcBorders>
              <w:top w:val="single" w:sz="4" w:space="0" w:color="auto"/>
              <w:left w:val="nil"/>
              <w:bottom w:val="single" w:sz="4" w:space="0" w:color="000000"/>
              <w:right w:val="single" w:sz="4" w:space="0" w:color="auto"/>
            </w:tcBorders>
            <w:vAlign w:val="center"/>
            <w:hideMark/>
          </w:tcPr>
          <w:p w:rsidR="00031355" w:rsidRPr="00AE0D77" w:rsidRDefault="00031355">
            <w:pPr>
              <w:widowControl/>
              <w:rPr>
                <w:rFonts w:eastAsia="標楷體"/>
              </w:rPr>
            </w:pPr>
          </w:p>
        </w:tc>
        <w:tc>
          <w:tcPr>
            <w:tcW w:w="0" w:type="auto"/>
            <w:vMerge/>
            <w:tcBorders>
              <w:top w:val="single" w:sz="4" w:space="0" w:color="auto"/>
              <w:left w:val="nil"/>
              <w:bottom w:val="single" w:sz="4" w:space="0" w:color="auto"/>
              <w:right w:val="double" w:sz="4" w:space="0" w:color="auto"/>
            </w:tcBorders>
            <w:vAlign w:val="center"/>
            <w:hideMark/>
          </w:tcPr>
          <w:p w:rsidR="00031355" w:rsidRPr="00AE0D77" w:rsidRDefault="00031355">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031355" w:rsidRPr="00AE0D77" w:rsidRDefault="00031355">
            <w:pPr>
              <w:snapToGrid w:val="0"/>
              <w:spacing w:line="320" w:lineRule="exact"/>
              <w:ind w:left="28"/>
              <w:jc w:val="center"/>
              <w:rPr>
                <w:rFonts w:eastAsia="標楷體"/>
              </w:rPr>
            </w:pPr>
            <w:r w:rsidRPr="00AE0D77">
              <w:rPr>
                <w:rFonts w:eastAsia="標楷體"/>
              </w:rPr>
              <w:t>金屬機電</w:t>
            </w:r>
          </w:p>
          <w:p w:rsidR="00031355" w:rsidRPr="00AE0D77" w:rsidRDefault="00031355">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31355" w:rsidRPr="00AE0D77" w:rsidRDefault="00031355">
            <w:pPr>
              <w:snapToGrid w:val="0"/>
              <w:spacing w:line="320" w:lineRule="exact"/>
              <w:ind w:left="28"/>
              <w:jc w:val="center"/>
              <w:rPr>
                <w:rFonts w:eastAsia="標楷體"/>
              </w:rPr>
            </w:pPr>
            <w:r w:rsidRPr="00AE0D77">
              <w:rPr>
                <w:rFonts w:eastAsia="標楷體"/>
              </w:rPr>
              <w:t>資訊電子</w:t>
            </w:r>
          </w:p>
          <w:p w:rsidR="00031355" w:rsidRPr="00AE0D77" w:rsidRDefault="00031355">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31355" w:rsidRPr="00AE0D77" w:rsidRDefault="00031355">
            <w:pPr>
              <w:snapToGrid w:val="0"/>
              <w:spacing w:line="320" w:lineRule="exact"/>
              <w:ind w:left="28"/>
              <w:jc w:val="center"/>
              <w:rPr>
                <w:rFonts w:eastAsia="標楷體"/>
              </w:rPr>
            </w:pPr>
            <w:r w:rsidRPr="00AE0D77">
              <w:rPr>
                <w:rFonts w:eastAsia="標楷體"/>
              </w:rPr>
              <w:t>化學</w:t>
            </w:r>
          </w:p>
          <w:p w:rsidR="00031355" w:rsidRPr="00AE0D77" w:rsidRDefault="00031355">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nil"/>
            </w:tcBorders>
            <w:tcMar>
              <w:top w:w="17" w:type="dxa"/>
              <w:left w:w="17" w:type="dxa"/>
              <w:bottom w:w="0" w:type="dxa"/>
              <w:right w:w="17" w:type="dxa"/>
            </w:tcMar>
            <w:hideMark/>
          </w:tcPr>
          <w:p w:rsidR="00031355" w:rsidRPr="00AE0D77" w:rsidRDefault="00031355">
            <w:pPr>
              <w:snapToGrid w:val="0"/>
              <w:spacing w:line="320" w:lineRule="exact"/>
              <w:ind w:left="28"/>
              <w:jc w:val="center"/>
              <w:rPr>
                <w:rFonts w:eastAsia="標楷體"/>
              </w:rPr>
            </w:pPr>
            <w:r w:rsidRPr="00AE0D77">
              <w:rPr>
                <w:rFonts w:eastAsia="標楷體"/>
              </w:rPr>
              <w:t>民生</w:t>
            </w:r>
          </w:p>
          <w:p w:rsidR="00031355" w:rsidRPr="00AE0D77" w:rsidRDefault="00031355">
            <w:pPr>
              <w:snapToGrid w:val="0"/>
              <w:spacing w:line="320" w:lineRule="exact"/>
              <w:ind w:left="28"/>
              <w:jc w:val="center"/>
              <w:rPr>
                <w:rFonts w:eastAsia="標楷體"/>
              </w:rPr>
            </w:pPr>
            <w:r w:rsidRPr="00AE0D77">
              <w:rPr>
                <w:rFonts w:eastAsia="標楷體"/>
              </w:rPr>
              <w:t>工業</w:t>
            </w:r>
          </w:p>
        </w:tc>
      </w:tr>
      <w:tr w:rsidR="00031355" w:rsidRPr="00AE0D77" w:rsidTr="00031355">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031355" w:rsidRPr="00AE0D77" w:rsidRDefault="00031355">
            <w:pPr>
              <w:snapToGrid w:val="0"/>
              <w:spacing w:line="300" w:lineRule="exact"/>
              <w:rPr>
                <w:rFonts w:eastAsia="標楷體"/>
                <w:b/>
                <w:bCs/>
              </w:rPr>
            </w:pPr>
            <w:r w:rsidRPr="00AE0D77">
              <w:rPr>
                <w:rFonts w:eastAsia="標楷體"/>
                <w:b/>
                <w:bCs/>
              </w:rPr>
              <w:t xml:space="preserve"> 101</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031355" w:rsidRPr="00AE0D77" w:rsidRDefault="00031355">
            <w:pPr>
              <w:snapToGrid w:val="0"/>
              <w:spacing w:line="300" w:lineRule="exact"/>
              <w:ind w:rightChars="110" w:right="264"/>
              <w:jc w:val="right"/>
              <w:rPr>
                <w:rFonts w:eastAsia="標楷體"/>
                <w:b/>
                <w:bCs/>
              </w:rPr>
            </w:pPr>
            <w:r w:rsidRPr="00AE0D77">
              <w:rPr>
                <w:rFonts w:eastAsia="標楷體"/>
                <w:b/>
                <w:bCs/>
              </w:rPr>
              <w:t>-0.32</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031355" w:rsidRPr="00AE0D77" w:rsidRDefault="00031355">
            <w:pPr>
              <w:snapToGrid w:val="0"/>
              <w:spacing w:line="300" w:lineRule="exact"/>
              <w:ind w:left="28" w:rightChars="141" w:right="338"/>
              <w:jc w:val="right"/>
              <w:rPr>
                <w:rFonts w:eastAsia="標楷體"/>
                <w:b/>
                <w:bCs/>
              </w:rPr>
            </w:pPr>
            <w:r w:rsidRPr="00AE0D77">
              <w:rPr>
                <w:rFonts w:eastAsia="標楷體"/>
                <w:b/>
                <w:bCs/>
              </w:rPr>
              <w:t>-4.09</w:t>
            </w:r>
          </w:p>
        </w:tc>
        <w:tc>
          <w:tcPr>
            <w:tcW w:w="1350" w:type="dxa"/>
            <w:tcMar>
              <w:top w:w="17" w:type="dxa"/>
              <w:left w:w="17" w:type="dxa"/>
              <w:bottom w:w="0" w:type="dxa"/>
              <w:right w:w="17" w:type="dxa"/>
            </w:tcMar>
            <w:vAlign w:val="bottom"/>
            <w:hideMark/>
          </w:tcPr>
          <w:p w:rsidR="00031355" w:rsidRPr="00AE0D77" w:rsidRDefault="00031355">
            <w:pPr>
              <w:snapToGrid w:val="0"/>
              <w:spacing w:line="300" w:lineRule="exact"/>
              <w:ind w:left="28" w:rightChars="172" w:right="413"/>
              <w:jc w:val="right"/>
              <w:rPr>
                <w:rFonts w:eastAsia="標楷體"/>
                <w:b/>
                <w:bCs/>
              </w:rPr>
            </w:pPr>
            <w:r w:rsidRPr="00AE0D77">
              <w:rPr>
                <w:rFonts w:eastAsia="標楷體"/>
                <w:b/>
                <w:bCs/>
              </w:rPr>
              <w:t>1.20</w:t>
            </w:r>
          </w:p>
        </w:tc>
        <w:tc>
          <w:tcPr>
            <w:tcW w:w="1350" w:type="dxa"/>
            <w:tcMar>
              <w:top w:w="17" w:type="dxa"/>
              <w:left w:w="17" w:type="dxa"/>
              <w:bottom w:w="0" w:type="dxa"/>
              <w:right w:w="17" w:type="dxa"/>
            </w:tcMar>
            <w:vAlign w:val="bottom"/>
            <w:hideMark/>
          </w:tcPr>
          <w:p w:rsidR="00031355" w:rsidRPr="00AE0D77" w:rsidRDefault="00031355">
            <w:pPr>
              <w:snapToGrid w:val="0"/>
              <w:spacing w:line="300" w:lineRule="exact"/>
              <w:ind w:left="28" w:rightChars="144" w:right="346"/>
              <w:jc w:val="right"/>
              <w:rPr>
                <w:rFonts w:eastAsia="標楷體"/>
                <w:b/>
                <w:bCs/>
              </w:rPr>
            </w:pPr>
            <w:r w:rsidRPr="00AE0D77">
              <w:rPr>
                <w:rFonts w:eastAsia="標楷體"/>
                <w:b/>
                <w:bCs/>
              </w:rPr>
              <w:t>1.66</w:t>
            </w:r>
          </w:p>
        </w:tc>
        <w:tc>
          <w:tcPr>
            <w:tcW w:w="1350" w:type="dxa"/>
            <w:tcMar>
              <w:top w:w="17" w:type="dxa"/>
              <w:left w:w="17" w:type="dxa"/>
              <w:bottom w:w="0" w:type="dxa"/>
              <w:right w:w="17" w:type="dxa"/>
            </w:tcMar>
            <w:vAlign w:val="bottom"/>
            <w:hideMark/>
          </w:tcPr>
          <w:p w:rsidR="00031355" w:rsidRPr="00AE0D77" w:rsidRDefault="00031355">
            <w:pPr>
              <w:snapToGrid w:val="0"/>
              <w:spacing w:line="300" w:lineRule="exact"/>
              <w:ind w:left="28" w:rightChars="175" w:right="420"/>
              <w:jc w:val="right"/>
              <w:rPr>
                <w:rFonts w:eastAsia="標楷體"/>
                <w:b/>
                <w:bCs/>
              </w:rPr>
            </w:pPr>
            <w:r w:rsidRPr="00AE0D77">
              <w:rPr>
                <w:rFonts w:eastAsia="標楷體"/>
                <w:b/>
                <w:bCs/>
              </w:rPr>
              <w:t>-0.42</w:t>
            </w:r>
          </w:p>
        </w:tc>
      </w:tr>
      <w:tr w:rsidR="00031355" w:rsidRPr="00AE0D77" w:rsidTr="00031355">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031355" w:rsidRPr="00AE0D77" w:rsidRDefault="00031355">
            <w:pPr>
              <w:snapToGrid w:val="0"/>
              <w:spacing w:line="300" w:lineRule="exact"/>
              <w:rPr>
                <w:rFonts w:eastAsia="標楷體"/>
                <w:b/>
                <w:bCs/>
              </w:rPr>
            </w:pPr>
            <w:r w:rsidRPr="00AE0D77">
              <w:rPr>
                <w:rFonts w:eastAsia="標楷體"/>
                <w:b/>
                <w:bCs/>
              </w:rPr>
              <w:t xml:space="preserve"> 102</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rightChars="110" w:right="264"/>
              <w:jc w:val="right"/>
              <w:rPr>
                <w:rFonts w:eastAsia="標楷體"/>
                <w:b/>
              </w:rPr>
            </w:pPr>
            <w:r w:rsidRPr="00AE0D77">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031355" w:rsidRPr="00AE0D77" w:rsidRDefault="00031355">
            <w:pPr>
              <w:snapToGrid w:val="0"/>
              <w:spacing w:line="300" w:lineRule="exact"/>
              <w:ind w:left="28" w:rightChars="141" w:right="338"/>
              <w:jc w:val="right"/>
              <w:rPr>
                <w:rFonts w:eastAsia="標楷體"/>
                <w:b/>
              </w:rPr>
            </w:pPr>
            <w:r w:rsidRPr="00AE0D77">
              <w:rPr>
                <w:rFonts w:eastAsia="標楷體"/>
                <w:b/>
              </w:rPr>
              <w:t>-0.34</w:t>
            </w:r>
          </w:p>
        </w:tc>
        <w:tc>
          <w:tcPr>
            <w:tcW w:w="1350" w:type="dxa"/>
            <w:tcMar>
              <w:top w:w="17" w:type="dxa"/>
              <w:left w:w="17" w:type="dxa"/>
              <w:bottom w:w="0" w:type="dxa"/>
              <w:right w:w="17" w:type="dxa"/>
            </w:tcMar>
            <w:vAlign w:val="bottom"/>
            <w:hideMark/>
          </w:tcPr>
          <w:p w:rsidR="00031355" w:rsidRPr="00AE0D77" w:rsidRDefault="00031355">
            <w:pPr>
              <w:snapToGrid w:val="0"/>
              <w:spacing w:line="300" w:lineRule="exact"/>
              <w:ind w:left="28" w:rightChars="172" w:right="413"/>
              <w:jc w:val="right"/>
              <w:rPr>
                <w:rFonts w:eastAsia="標楷體"/>
                <w:b/>
              </w:rPr>
            </w:pPr>
            <w:r w:rsidRPr="00AE0D77">
              <w:rPr>
                <w:rFonts w:eastAsia="標楷體"/>
                <w:b/>
              </w:rPr>
              <w:t>1.21</w:t>
            </w:r>
          </w:p>
        </w:tc>
        <w:tc>
          <w:tcPr>
            <w:tcW w:w="1350" w:type="dxa"/>
            <w:tcMar>
              <w:top w:w="17" w:type="dxa"/>
              <w:left w:w="17" w:type="dxa"/>
              <w:bottom w:w="0" w:type="dxa"/>
              <w:right w:w="17" w:type="dxa"/>
            </w:tcMar>
            <w:vAlign w:val="bottom"/>
            <w:hideMark/>
          </w:tcPr>
          <w:p w:rsidR="00031355" w:rsidRPr="00AE0D77" w:rsidRDefault="00031355">
            <w:pPr>
              <w:snapToGrid w:val="0"/>
              <w:spacing w:line="300" w:lineRule="exact"/>
              <w:ind w:left="28" w:rightChars="144" w:right="346"/>
              <w:jc w:val="right"/>
              <w:rPr>
                <w:rFonts w:eastAsia="標楷體"/>
                <w:b/>
              </w:rPr>
            </w:pPr>
            <w:r w:rsidRPr="00AE0D77">
              <w:rPr>
                <w:rFonts w:eastAsia="標楷體"/>
                <w:b/>
              </w:rPr>
              <w:t>0.73</w:t>
            </w:r>
          </w:p>
        </w:tc>
        <w:tc>
          <w:tcPr>
            <w:tcW w:w="1350" w:type="dxa"/>
            <w:tcMar>
              <w:top w:w="17" w:type="dxa"/>
              <w:left w:w="17" w:type="dxa"/>
              <w:bottom w:w="0" w:type="dxa"/>
              <w:right w:w="17" w:type="dxa"/>
            </w:tcMar>
            <w:vAlign w:val="bottom"/>
            <w:hideMark/>
          </w:tcPr>
          <w:p w:rsidR="00031355" w:rsidRPr="00AE0D77" w:rsidRDefault="00031355">
            <w:pPr>
              <w:snapToGrid w:val="0"/>
              <w:spacing w:line="300" w:lineRule="exact"/>
              <w:ind w:left="28" w:rightChars="175" w:right="420"/>
              <w:jc w:val="right"/>
              <w:rPr>
                <w:rFonts w:eastAsia="標楷體"/>
                <w:b/>
              </w:rPr>
            </w:pPr>
            <w:r w:rsidRPr="00AE0D77">
              <w:rPr>
                <w:rFonts w:eastAsia="標楷體"/>
                <w:b/>
              </w:rPr>
              <w:t>-0.08</w:t>
            </w:r>
          </w:p>
        </w:tc>
      </w:tr>
      <w:tr w:rsidR="00031355" w:rsidRPr="00AE0D77" w:rsidTr="00031355">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031355" w:rsidRPr="00AE0D77" w:rsidRDefault="00031355">
            <w:pPr>
              <w:snapToGrid w:val="0"/>
              <w:spacing w:line="300" w:lineRule="exact"/>
              <w:rPr>
                <w:rFonts w:eastAsia="標楷體"/>
                <w:b/>
                <w:bCs/>
              </w:rPr>
            </w:pPr>
            <w:r w:rsidRPr="00AE0D77">
              <w:rPr>
                <w:rFonts w:eastAsia="標楷體"/>
                <w:b/>
                <w:bCs/>
              </w:rPr>
              <w:t xml:space="preserve"> 103</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rightChars="110" w:right="264"/>
              <w:jc w:val="right"/>
              <w:rPr>
                <w:rFonts w:eastAsia="標楷體"/>
                <w:b/>
              </w:rPr>
            </w:pPr>
            <w:r w:rsidRPr="00AE0D77">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napToGrid w:val="0"/>
              <w:spacing w:line="300" w:lineRule="exact"/>
              <w:ind w:left="28" w:rightChars="141" w:right="338"/>
              <w:jc w:val="right"/>
              <w:rPr>
                <w:rFonts w:eastAsia="標楷體"/>
                <w:b/>
              </w:rPr>
            </w:pPr>
            <w:r w:rsidRPr="00AE0D77">
              <w:rPr>
                <w:rFonts w:eastAsia="標楷體"/>
                <w:b/>
              </w:rPr>
              <w:t>6.21</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2" w:right="413"/>
              <w:jc w:val="right"/>
              <w:rPr>
                <w:rFonts w:eastAsia="標楷體"/>
                <w:b/>
              </w:rPr>
            </w:pPr>
            <w:r w:rsidRPr="00AE0D77">
              <w:rPr>
                <w:rFonts w:eastAsia="標楷體"/>
                <w:b/>
              </w:rPr>
              <w:t>11.79</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44" w:right="346"/>
              <w:jc w:val="right"/>
              <w:rPr>
                <w:rFonts w:eastAsia="標楷體"/>
                <w:b/>
                <w:bCs/>
              </w:rPr>
            </w:pPr>
            <w:r w:rsidRPr="00AE0D77">
              <w:rPr>
                <w:rFonts w:eastAsia="標楷體"/>
                <w:b/>
                <w:bCs/>
              </w:rPr>
              <w:t>-0.54</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
                <w:bCs/>
              </w:rPr>
            </w:pPr>
            <w:r w:rsidRPr="00AE0D77">
              <w:rPr>
                <w:rFonts w:eastAsia="標楷體"/>
                <w:b/>
                <w:bCs/>
              </w:rPr>
              <w:t>1.55</w:t>
            </w:r>
          </w:p>
        </w:tc>
      </w:tr>
      <w:tr w:rsidR="00031355" w:rsidRPr="00AE0D77" w:rsidTr="00031355">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031355" w:rsidRPr="00AE0D77" w:rsidRDefault="00031355">
            <w:pPr>
              <w:snapToGrid w:val="0"/>
              <w:spacing w:line="300" w:lineRule="exact"/>
              <w:rPr>
                <w:rFonts w:eastAsia="標楷體"/>
                <w:b/>
                <w:bCs/>
              </w:rPr>
            </w:pPr>
            <w:r w:rsidRPr="00AE0D77">
              <w:rPr>
                <w:rFonts w:eastAsia="標楷體"/>
                <w:b/>
                <w:bCs/>
              </w:rPr>
              <w:t xml:space="preserve"> 104</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rightChars="110" w:right="264"/>
              <w:jc w:val="right"/>
              <w:rPr>
                <w:rFonts w:eastAsia="標楷體"/>
                <w:b/>
              </w:rPr>
            </w:pPr>
            <w:r w:rsidRPr="00AE0D77">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napToGrid w:val="0"/>
              <w:spacing w:line="300" w:lineRule="exact"/>
              <w:ind w:left="28" w:rightChars="141" w:right="338"/>
              <w:jc w:val="right"/>
              <w:rPr>
                <w:rFonts w:eastAsia="標楷體"/>
                <w:b/>
              </w:rPr>
            </w:pPr>
            <w:r w:rsidRPr="00AE0D77">
              <w:rPr>
                <w:rFonts w:eastAsia="標楷體"/>
                <w:b/>
              </w:rPr>
              <w:t>-4.18</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2" w:right="413"/>
              <w:jc w:val="right"/>
              <w:rPr>
                <w:rFonts w:eastAsia="標楷體"/>
                <w:b/>
              </w:rPr>
            </w:pPr>
            <w:r w:rsidRPr="00AE0D77">
              <w:rPr>
                <w:rFonts w:eastAsia="標楷體"/>
                <w:b/>
              </w:rPr>
              <w:t>-1.14</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44" w:right="346"/>
              <w:jc w:val="right"/>
              <w:rPr>
                <w:rFonts w:eastAsia="標楷體"/>
                <w:b/>
                <w:bCs/>
              </w:rPr>
            </w:pPr>
            <w:r w:rsidRPr="00AE0D77">
              <w:rPr>
                <w:rFonts w:eastAsia="標楷體"/>
                <w:b/>
                <w:bCs/>
              </w:rPr>
              <w:t>1.16</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
                <w:bCs/>
              </w:rPr>
            </w:pPr>
            <w:r w:rsidRPr="00AE0D77">
              <w:rPr>
                <w:rFonts w:eastAsia="標楷體"/>
                <w:b/>
                <w:bCs/>
              </w:rPr>
              <w:t>-1.26</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rPr>
                <w:rFonts w:eastAsia="標楷體"/>
                <w:b/>
                <w:bCs/>
              </w:rPr>
            </w:pPr>
            <w:r w:rsidRPr="00AE0D77">
              <w:rPr>
                <w:rFonts w:eastAsia="標楷體"/>
                <w:b/>
                <w:bCs/>
              </w:rPr>
              <w:t xml:space="preserve"> 105</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rightChars="110" w:right="264"/>
              <w:jc w:val="right"/>
              <w:rPr>
                <w:rFonts w:eastAsia="標楷體"/>
                <w:b/>
              </w:rPr>
            </w:pPr>
            <w:r w:rsidRPr="00AE0D77">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hideMark/>
          </w:tcPr>
          <w:p w:rsidR="00031355" w:rsidRPr="00AE0D77" w:rsidRDefault="00031355">
            <w:pPr>
              <w:snapToGrid w:val="0"/>
              <w:spacing w:line="300" w:lineRule="exact"/>
              <w:ind w:left="28" w:rightChars="141" w:right="338"/>
              <w:jc w:val="right"/>
              <w:rPr>
                <w:rFonts w:eastAsia="標楷體"/>
                <w:b/>
              </w:rPr>
            </w:pPr>
            <w:r w:rsidRPr="00AE0D77">
              <w:rPr>
                <w:rFonts w:eastAsia="標楷體"/>
                <w:b/>
              </w:rPr>
              <w:t>- 0.60</w:t>
            </w:r>
          </w:p>
        </w:tc>
        <w:tc>
          <w:tcPr>
            <w:tcW w:w="1350" w:type="dxa"/>
            <w:tcMar>
              <w:top w:w="17" w:type="dxa"/>
              <w:left w:w="17" w:type="dxa"/>
              <w:bottom w:w="0" w:type="dxa"/>
              <w:right w:w="17" w:type="dxa"/>
            </w:tcMar>
            <w:vAlign w:val="center"/>
            <w:hideMark/>
          </w:tcPr>
          <w:p w:rsidR="00031355" w:rsidRPr="00AE0D77" w:rsidRDefault="00031355">
            <w:pPr>
              <w:snapToGrid w:val="0"/>
              <w:spacing w:line="300" w:lineRule="exact"/>
              <w:ind w:left="28" w:rightChars="172" w:right="413"/>
              <w:jc w:val="right"/>
              <w:rPr>
                <w:rFonts w:eastAsia="標楷體"/>
                <w:b/>
              </w:rPr>
            </w:pPr>
            <w:r w:rsidRPr="00AE0D77">
              <w:rPr>
                <w:rFonts w:eastAsia="標楷體"/>
                <w:b/>
              </w:rPr>
              <w:t xml:space="preserve"> 4.26</w:t>
            </w:r>
          </w:p>
        </w:tc>
        <w:tc>
          <w:tcPr>
            <w:tcW w:w="1350" w:type="dxa"/>
            <w:tcMar>
              <w:top w:w="17" w:type="dxa"/>
              <w:left w:w="17" w:type="dxa"/>
              <w:bottom w:w="0" w:type="dxa"/>
              <w:right w:w="17" w:type="dxa"/>
            </w:tcMar>
            <w:vAlign w:val="center"/>
            <w:hideMark/>
          </w:tcPr>
          <w:p w:rsidR="00031355" w:rsidRPr="00AE0D77" w:rsidRDefault="00031355">
            <w:pPr>
              <w:snapToGrid w:val="0"/>
              <w:spacing w:line="300" w:lineRule="exact"/>
              <w:ind w:left="28" w:rightChars="144" w:right="346"/>
              <w:jc w:val="right"/>
              <w:rPr>
                <w:rFonts w:eastAsia="標楷體"/>
                <w:b/>
              </w:rPr>
            </w:pPr>
            <w:r w:rsidRPr="00AE0D77">
              <w:rPr>
                <w:rFonts w:eastAsia="標楷體"/>
                <w:b/>
              </w:rPr>
              <w:t xml:space="preserve"> 0.</w:t>
            </w:r>
            <w:r w:rsidRPr="00AE0D77">
              <w:rPr>
                <w:rFonts w:eastAsia="標楷體"/>
                <w:b/>
                <w:bCs/>
              </w:rPr>
              <w:t>90</w:t>
            </w:r>
          </w:p>
        </w:tc>
        <w:tc>
          <w:tcPr>
            <w:tcW w:w="1350" w:type="dxa"/>
            <w:tcMar>
              <w:top w:w="17" w:type="dxa"/>
              <w:left w:w="17" w:type="dxa"/>
              <w:bottom w:w="0" w:type="dxa"/>
              <w:right w:w="17" w:type="dxa"/>
            </w:tcMar>
            <w:vAlign w:val="center"/>
            <w:hideMark/>
          </w:tcPr>
          <w:p w:rsidR="00031355" w:rsidRPr="00AE0D77" w:rsidRDefault="00031355">
            <w:pPr>
              <w:snapToGrid w:val="0"/>
              <w:spacing w:line="300" w:lineRule="exact"/>
              <w:ind w:left="28" w:rightChars="175" w:right="420"/>
              <w:jc w:val="right"/>
              <w:rPr>
                <w:rFonts w:eastAsia="標楷體"/>
                <w:b/>
              </w:rPr>
            </w:pPr>
            <w:r w:rsidRPr="00AE0D77">
              <w:rPr>
                <w:rFonts w:eastAsia="標楷體"/>
                <w:b/>
              </w:rPr>
              <w:t>0.77</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rPr>
            </w:pPr>
            <w:r w:rsidRPr="00AE0D77">
              <w:rPr>
                <w:rFonts w:eastAsia="標楷體"/>
              </w:rPr>
              <w:t xml:space="preserve"> 2.13</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-0.04</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 xml:space="preserve"> 4.34</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-1.30</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 xml:space="preserve"> 6.05</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6</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rPr>
            </w:pPr>
            <w:r w:rsidRPr="00AE0D77">
              <w:rPr>
                <w:rFonts w:eastAsia="標楷體"/>
              </w:rPr>
              <w:t xml:space="preserve"> 1.88</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-1.90</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 xml:space="preserve"> 5.67</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-0.85</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0.73</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7</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031355" w:rsidRPr="00AE0D77" w:rsidRDefault="00031355">
            <w:pPr>
              <w:snapToGrid w:val="0"/>
              <w:spacing w:line="300" w:lineRule="exact"/>
              <w:ind w:rightChars="110" w:right="264"/>
              <w:jc w:val="right"/>
              <w:rPr>
                <w:rFonts w:eastAsia="標楷體"/>
              </w:rPr>
            </w:pPr>
            <w:r w:rsidRPr="00AE0D77">
              <w:rPr>
                <w:rFonts w:eastAsia="標楷體"/>
              </w:rPr>
              <w:t>0.80</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-4.87</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 xml:space="preserve"> 4.27</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 xml:space="preserve"> 1.99</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-2.22</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8</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031355" w:rsidRPr="00AE0D77" w:rsidRDefault="00031355">
            <w:pPr>
              <w:snapToGrid w:val="0"/>
              <w:spacing w:line="300" w:lineRule="exact"/>
              <w:ind w:rightChars="110" w:right="264"/>
              <w:jc w:val="right"/>
              <w:rPr>
                <w:rFonts w:eastAsia="標楷體"/>
              </w:rPr>
            </w:pPr>
            <w:r w:rsidRPr="00AE0D77">
              <w:rPr>
                <w:rFonts w:eastAsia="標楷體"/>
              </w:rPr>
              <w:t>8.51</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 xml:space="preserve"> 4.84</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 xml:space="preserve"> 11.19</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 xml:space="preserve"> 7.23</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 xml:space="preserve"> 8.41</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9</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031355" w:rsidRPr="00AE0D77" w:rsidRDefault="00031355">
            <w:pPr>
              <w:snapToGrid w:val="0"/>
              <w:spacing w:line="300" w:lineRule="exact"/>
              <w:ind w:rightChars="110" w:right="264"/>
              <w:jc w:val="right"/>
              <w:rPr>
                <w:rFonts w:eastAsia="標楷體"/>
              </w:rPr>
            </w:pPr>
            <w:r w:rsidRPr="00AE0D77">
              <w:rPr>
                <w:rFonts w:eastAsia="標楷體"/>
              </w:rPr>
              <w:t>5.65</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-3.95</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 xml:space="preserve"> 15.94</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-1.28</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-2.85</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rightChars="110" w:right="264"/>
              <w:jc w:val="right"/>
              <w:rPr>
                <w:rFonts w:eastAsia="標楷體"/>
              </w:rPr>
            </w:pPr>
            <w:r w:rsidRPr="00AE0D77">
              <w:rPr>
                <w:rFonts w:eastAsia="標楷體"/>
              </w:rPr>
              <w:t xml:space="preserve"> 5.17</w:t>
            </w:r>
          </w:p>
        </w:tc>
        <w:tc>
          <w:tcPr>
            <w:tcW w:w="1350" w:type="dxa"/>
            <w:tcBorders>
              <w:top w:val="nil"/>
              <w:left w:val="double" w:sz="4" w:space="0" w:color="auto"/>
              <w:bottom w:val="nil"/>
              <w:right w:val="nil"/>
            </w:tcBorders>
            <w:tcMar>
              <w:top w:w="17" w:type="dxa"/>
              <w:left w:w="17" w:type="dxa"/>
              <w:bottom w:w="0" w:type="dxa"/>
              <w:right w:w="17" w:type="dxa"/>
            </w:tcMar>
            <w:vAlign w:val="center"/>
            <w:hideMark/>
          </w:tcPr>
          <w:p w:rsidR="00031355" w:rsidRPr="00AE0D77" w:rsidRDefault="00031355">
            <w:pPr>
              <w:spacing w:line="300" w:lineRule="exact"/>
              <w:ind w:rightChars="141" w:right="338"/>
              <w:jc w:val="right"/>
              <w:rPr>
                <w:rFonts w:eastAsia="標楷體"/>
              </w:rPr>
            </w:pPr>
            <w:r w:rsidRPr="00AE0D77">
              <w:rPr>
                <w:rFonts w:eastAsia="標楷體"/>
              </w:rPr>
              <w:t xml:space="preserve"> 4.05</w:t>
            </w:r>
          </w:p>
        </w:tc>
        <w:tc>
          <w:tcPr>
            <w:tcW w:w="1350" w:type="dxa"/>
            <w:tcMar>
              <w:top w:w="17" w:type="dxa"/>
              <w:left w:w="17" w:type="dxa"/>
              <w:bottom w:w="0" w:type="dxa"/>
              <w:right w:w="17" w:type="dxa"/>
            </w:tcMar>
            <w:vAlign w:val="center"/>
            <w:hideMark/>
          </w:tcPr>
          <w:p w:rsidR="00031355" w:rsidRPr="00AE0D77" w:rsidRDefault="00031355">
            <w:pPr>
              <w:spacing w:line="300" w:lineRule="exact"/>
              <w:ind w:rightChars="172" w:right="413"/>
              <w:jc w:val="right"/>
              <w:rPr>
                <w:rFonts w:eastAsia="標楷體"/>
              </w:rPr>
            </w:pPr>
            <w:r w:rsidRPr="00AE0D77">
              <w:rPr>
                <w:rFonts w:eastAsia="標楷體"/>
              </w:rPr>
              <w:t xml:space="preserve"> 9.19</w:t>
            </w:r>
          </w:p>
        </w:tc>
        <w:tc>
          <w:tcPr>
            <w:tcW w:w="1350" w:type="dxa"/>
            <w:tcMar>
              <w:top w:w="17" w:type="dxa"/>
              <w:left w:w="17" w:type="dxa"/>
              <w:bottom w:w="0" w:type="dxa"/>
              <w:right w:w="17" w:type="dxa"/>
            </w:tcMar>
            <w:vAlign w:val="center"/>
            <w:hideMark/>
          </w:tcPr>
          <w:p w:rsidR="00031355" w:rsidRPr="00AE0D77" w:rsidRDefault="00031355">
            <w:pPr>
              <w:spacing w:line="300" w:lineRule="exact"/>
              <w:ind w:rightChars="141" w:right="338"/>
              <w:jc w:val="right"/>
              <w:rPr>
                <w:rFonts w:eastAsia="標楷體"/>
              </w:rPr>
            </w:pPr>
            <w:r w:rsidRPr="00AE0D77">
              <w:rPr>
                <w:rFonts w:eastAsia="標楷體"/>
              </w:rPr>
              <w:t xml:space="preserve"> 0.67</w:t>
            </w:r>
          </w:p>
        </w:tc>
        <w:tc>
          <w:tcPr>
            <w:tcW w:w="1350" w:type="dxa"/>
            <w:tcMar>
              <w:top w:w="17" w:type="dxa"/>
              <w:left w:w="17" w:type="dxa"/>
              <w:bottom w:w="0" w:type="dxa"/>
              <w:right w:w="17" w:type="dxa"/>
            </w:tcMar>
            <w:vAlign w:val="cente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-0.67</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rPr>
            </w:pPr>
            <w:r w:rsidRPr="00AE0D77">
              <w:rPr>
                <w:rFonts w:eastAsia="標楷體"/>
              </w:rPr>
              <w:t xml:space="preserve"> 10.46</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 xml:space="preserve"> 9.99</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 xml:space="preserve"> 13.95</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 xml:space="preserve"> 5.89</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 xml:space="preserve"> 5.29</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rPr>
            </w:pPr>
            <w:r w:rsidRPr="00AE0D77">
              <w:rPr>
                <w:rFonts w:eastAsia="標楷體"/>
              </w:rPr>
              <w:t xml:space="preserve"> 7.41</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 xml:space="preserve"> 7.58</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 xml:space="preserve"> 10.53</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 xml:space="preserve"> 2.96</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 xml:space="preserve"> 2.75</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rPr>
                <w:rFonts w:eastAsia="標楷體"/>
                <w:spacing w:val="-6"/>
              </w:rPr>
            </w:pPr>
            <w:r w:rsidRPr="00AE0D77">
              <w:rPr>
                <w:rFonts w:eastAsia="標楷體"/>
                <w:b/>
                <w:bCs/>
              </w:rPr>
              <w:t>106</w:t>
            </w:r>
            <w:r w:rsidRPr="00AE0D77">
              <w:rPr>
                <w:rFonts w:eastAsia="標楷體"/>
                <w:b/>
                <w:bCs/>
              </w:rPr>
              <w:t>年</w:t>
            </w:r>
            <w:r w:rsidRPr="00AE0D77">
              <w:rPr>
                <w:rFonts w:eastAsia="標楷體"/>
                <w:b/>
                <w:bCs/>
              </w:rPr>
              <w:t>1~5</w:t>
            </w:r>
            <w:r w:rsidRPr="00AE0D77">
              <w:rPr>
                <w:rFonts w:eastAsia="標楷體"/>
                <w:b/>
                <w:bCs/>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b/>
              </w:rPr>
            </w:pPr>
            <w:r w:rsidRPr="00AE0D77">
              <w:rPr>
                <w:rFonts w:eastAsia="標楷體"/>
                <w:b/>
              </w:rPr>
              <w:t>4.88</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b/>
              </w:rPr>
            </w:pPr>
            <w:r w:rsidRPr="00AE0D77">
              <w:rPr>
                <w:rFonts w:eastAsia="標楷體"/>
                <w:b/>
              </w:rPr>
              <w:t>3.88</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b/>
              </w:rPr>
            </w:pPr>
            <w:r w:rsidRPr="00AE0D77">
              <w:rPr>
                <w:rFonts w:eastAsia="標楷體"/>
                <w:b/>
              </w:rPr>
              <w:t>7.39</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b/>
              </w:rPr>
            </w:pPr>
            <w:r w:rsidRPr="00AE0D77">
              <w:rPr>
                <w:rFonts w:eastAsia="標楷體"/>
                <w:b/>
              </w:rPr>
              <w:t>0.40</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
                <w:bCs/>
              </w:rPr>
            </w:pPr>
            <w:r w:rsidRPr="00AE0D77">
              <w:rPr>
                <w:rFonts w:eastAsia="標楷體"/>
                <w:b/>
                <w:bCs/>
              </w:rPr>
              <w:t>6.21</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rPr>
            </w:pPr>
            <w:r w:rsidRPr="00AE0D77">
              <w:rPr>
                <w:rFonts w:eastAsia="標楷體"/>
              </w:rPr>
              <w:t>3.46</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-2.05</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7.77</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3.85</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-1.91</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rPr>
            </w:pPr>
            <w:r w:rsidRPr="00AE0D77">
              <w:rPr>
                <w:rFonts w:eastAsia="標楷體"/>
              </w:rPr>
              <w:t>14.08</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14.18</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17.79</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5.06</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18.17</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3</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rPr>
            </w:pPr>
            <w:r w:rsidRPr="00AE0D77">
              <w:rPr>
                <w:rFonts w:eastAsia="標楷體"/>
              </w:rPr>
              <w:t>4.70</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3.57</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7.96</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-2.15</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8.29</w:t>
            </w:r>
          </w:p>
        </w:tc>
      </w:tr>
      <w:tr w:rsidR="00031355" w:rsidRPr="00AE0D77" w:rsidTr="00031355">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4</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rPr>
            </w:pPr>
            <w:r w:rsidRPr="00AE0D77">
              <w:rPr>
                <w:rFonts w:eastAsia="標楷體"/>
              </w:rPr>
              <w:t>0.79</w:t>
            </w:r>
          </w:p>
        </w:tc>
        <w:tc>
          <w:tcPr>
            <w:tcW w:w="1350" w:type="dxa"/>
            <w:tcBorders>
              <w:top w:val="nil"/>
              <w:left w:val="double" w:sz="4" w:space="0" w:color="auto"/>
              <w:bottom w:val="nil"/>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3.00</w:t>
            </w:r>
          </w:p>
        </w:tc>
        <w:tc>
          <w:tcPr>
            <w:tcW w:w="1350" w:type="dxa"/>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1.23</w:t>
            </w:r>
          </w:p>
        </w:tc>
        <w:tc>
          <w:tcPr>
            <w:tcW w:w="1350" w:type="dxa"/>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-3.82</w:t>
            </w:r>
          </w:p>
        </w:tc>
        <w:tc>
          <w:tcPr>
            <w:tcW w:w="1350" w:type="dxa"/>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3.25</w:t>
            </w:r>
          </w:p>
        </w:tc>
      </w:tr>
      <w:tr w:rsidR="00031355" w:rsidRPr="00AE0D77" w:rsidTr="00031355">
        <w:trPr>
          <w:trHeight w:val="20"/>
          <w:jc w:val="center"/>
        </w:trPr>
        <w:tc>
          <w:tcPr>
            <w:tcW w:w="1711" w:type="dxa"/>
            <w:tcBorders>
              <w:top w:val="nil"/>
              <w:left w:val="nil"/>
              <w:bottom w:val="single" w:sz="4" w:space="0" w:color="auto"/>
              <w:right w:val="single" w:sz="4" w:space="0" w:color="auto"/>
            </w:tcBorders>
            <w:tcMar>
              <w:top w:w="17" w:type="dxa"/>
              <w:left w:w="17" w:type="dxa"/>
              <w:bottom w:w="0" w:type="dxa"/>
              <w:right w:w="17" w:type="dxa"/>
            </w:tcMar>
            <w:vAlign w:val="center"/>
            <w:hideMark/>
          </w:tcPr>
          <w:p w:rsidR="00031355" w:rsidRPr="00AE0D77" w:rsidRDefault="00031355">
            <w:pPr>
              <w:snapToGrid w:val="0"/>
              <w:spacing w:line="30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329" w:type="dxa"/>
            <w:tcBorders>
              <w:top w:val="nil"/>
              <w:left w:val="single" w:sz="4" w:space="0" w:color="auto"/>
              <w:bottom w:val="single" w:sz="4" w:space="0" w:color="auto"/>
              <w:right w:val="double" w:sz="4" w:space="0" w:color="auto"/>
            </w:tcBorders>
            <w:tcMar>
              <w:top w:w="17" w:type="dxa"/>
              <w:left w:w="17" w:type="dxa"/>
              <w:bottom w:w="0" w:type="dxa"/>
              <w:right w:w="17" w:type="dxa"/>
            </w:tcMar>
            <w:hideMark/>
          </w:tcPr>
          <w:p w:rsidR="00031355" w:rsidRPr="00AE0D77" w:rsidRDefault="00031355">
            <w:pPr>
              <w:snapToGrid w:val="0"/>
              <w:spacing w:line="300" w:lineRule="exact"/>
              <w:ind w:rightChars="110" w:right="264"/>
              <w:jc w:val="right"/>
              <w:rPr>
                <w:rFonts w:eastAsia="標楷體"/>
              </w:rPr>
            </w:pPr>
            <w:r w:rsidRPr="00AE0D77">
              <w:rPr>
                <w:rFonts w:eastAsia="標楷體"/>
              </w:rPr>
              <w:t>2.02</w:t>
            </w:r>
          </w:p>
        </w:tc>
        <w:tc>
          <w:tcPr>
            <w:tcW w:w="1350" w:type="dxa"/>
            <w:tcBorders>
              <w:top w:val="nil"/>
              <w:left w:val="double" w:sz="4" w:space="0" w:color="auto"/>
              <w:bottom w:val="single" w:sz="4" w:space="0" w:color="auto"/>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1.66</w:t>
            </w:r>
          </w:p>
        </w:tc>
        <w:tc>
          <w:tcPr>
            <w:tcW w:w="1350" w:type="dxa"/>
            <w:tcBorders>
              <w:top w:val="nil"/>
              <w:left w:val="nil"/>
              <w:bottom w:val="single" w:sz="4" w:space="0" w:color="auto"/>
              <w:right w:val="nil"/>
            </w:tcBorders>
            <w:tcMar>
              <w:top w:w="17" w:type="dxa"/>
              <w:left w:w="17" w:type="dxa"/>
              <w:bottom w:w="0" w:type="dxa"/>
              <w:right w:w="17" w:type="dxa"/>
            </w:tcMar>
            <w:hideMark/>
          </w:tcPr>
          <w:p w:rsidR="00031355" w:rsidRPr="00AE0D77" w:rsidRDefault="00031355">
            <w:pPr>
              <w:spacing w:line="300" w:lineRule="exact"/>
              <w:ind w:rightChars="172" w:right="413"/>
              <w:jc w:val="right"/>
              <w:rPr>
                <w:rFonts w:eastAsia="標楷體"/>
              </w:rPr>
            </w:pPr>
            <w:r w:rsidRPr="00AE0D77">
              <w:rPr>
                <w:rFonts w:eastAsia="標楷體"/>
              </w:rPr>
              <w:t>2.50</w:t>
            </w:r>
          </w:p>
        </w:tc>
        <w:tc>
          <w:tcPr>
            <w:tcW w:w="1350" w:type="dxa"/>
            <w:tcBorders>
              <w:top w:val="nil"/>
              <w:left w:val="nil"/>
              <w:bottom w:val="single" w:sz="4" w:space="0" w:color="auto"/>
              <w:right w:val="nil"/>
            </w:tcBorders>
            <w:tcMar>
              <w:top w:w="17" w:type="dxa"/>
              <w:left w:w="17" w:type="dxa"/>
              <w:bottom w:w="0" w:type="dxa"/>
              <w:right w:w="17" w:type="dxa"/>
            </w:tcMar>
            <w:hideMark/>
          </w:tcPr>
          <w:p w:rsidR="00031355" w:rsidRPr="00AE0D77" w:rsidRDefault="00031355">
            <w:pPr>
              <w:spacing w:line="300" w:lineRule="exact"/>
              <w:ind w:rightChars="141" w:right="338"/>
              <w:jc w:val="right"/>
              <w:rPr>
                <w:rFonts w:eastAsia="標楷體"/>
              </w:rPr>
            </w:pPr>
            <w:r w:rsidRPr="00AE0D77">
              <w:rPr>
                <w:rFonts w:eastAsia="標楷體"/>
              </w:rPr>
              <w:t>-0.26</w:t>
            </w:r>
          </w:p>
        </w:tc>
        <w:tc>
          <w:tcPr>
            <w:tcW w:w="1350" w:type="dxa"/>
            <w:tcBorders>
              <w:top w:val="nil"/>
              <w:left w:val="nil"/>
              <w:bottom w:val="single" w:sz="4" w:space="0" w:color="auto"/>
              <w:right w:val="nil"/>
            </w:tcBorders>
            <w:tcMar>
              <w:top w:w="17" w:type="dxa"/>
              <w:left w:w="17" w:type="dxa"/>
              <w:bottom w:w="0" w:type="dxa"/>
              <w:right w:w="17" w:type="dxa"/>
            </w:tcMar>
            <w:hideMark/>
          </w:tcPr>
          <w:p w:rsidR="00031355" w:rsidRPr="00AE0D77" w:rsidRDefault="00031355">
            <w:pPr>
              <w:snapToGrid w:val="0"/>
              <w:spacing w:line="300" w:lineRule="exact"/>
              <w:ind w:left="28" w:rightChars="175" w:right="420"/>
              <w:jc w:val="right"/>
              <w:rPr>
                <w:rFonts w:eastAsia="標楷體"/>
                <w:bCs/>
              </w:rPr>
            </w:pPr>
            <w:r w:rsidRPr="00AE0D77">
              <w:rPr>
                <w:rFonts w:eastAsia="標楷體"/>
                <w:bCs/>
              </w:rPr>
              <w:t>5.75</w:t>
            </w:r>
          </w:p>
        </w:tc>
      </w:tr>
    </w:tbl>
    <w:p w:rsidR="003F3F99" w:rsidRPr="00AE0D77" w:rsidRDefault="00F67965" w:rsidP="003F3F99">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031355" w:rsidRPr="00AE0D77" w:rsidRDefault="00031355">
      <w:pPr>
        <w:widowControl/>
        <w:rPr>
          <w:rFonts w:eastAsia="標楷體"/>
          <w:b/>
          <w:bCs/>
          <w:sz w:val="28"/>
          <w:szCs w:val="28"/>
        </w:rPr>
      </w:pPr>
      <w:r w:rsidRPr="00AE0D77">
        <w:rPr>
          <w:rFonts w:eastAsia="標楷體"/>
          <w:b/>
          <w:bCs/>
          <w:sz w:val="28"/>
          <w:szCs w:val="28"/>
        </w:rPr>
        <w:br w:type="page"/>
      </w:r>
    </w:p>
    <w:p w:rsidR="00F67965" w:rsidRPr="00AE0D77" w:rsidRDefault="00F67965" w:rsidP="00F67965">
      <w:pPr>
        <w:snapToGrid w:val="0"/>
        <w:spacing w:beforeLines="50" w:before="180" w:line="300" w:lineRule="auto"/>
        <w:jc w:val="both"/>
        <w:rPr>
          <w:rFonts w:eastAsia="標楷體"/>
          <w:b/>
          <w:bCs/>
          <w:sz w:val="28"/>
          <w:szCs w:val="28"/>
        </w:rPr>
      </w:pPr>
      <w:r w:rsidRPr="00AE0D77">
        <w:rPr>
          <w:rFonts w:eastAsia="標楷體"/>
          <w:b/>
          <w:bCs/>
          <w:sz w:val="28"/>
          <w:szCs w:val="28"/>
        </w:rPr>
        <w:t>３、</w:t>
      </w:r>
      <w:r w:rsidR="00031355" w:rsidRPr="00AE0D77">
        <w:rPr>
          <w:rFonts w:eastAsia="標楷體"/>
          <w:b/>
          <w:bCs/>
          <w:sz w:val="28"/>
          <w:szCs w:val="28"/>
        </w:rPr>
        <w:t>106</w:t>
      </w:r>
      <w:r w:rsidR="00031355" w:rsidRPr="00AE0D77">
        <w:rPr>
          <w:rFonts w:eastAsia="標楷體"/>
          <w:b/>
          <w:bCs/>
          <w:sz w:val="28"/>
          <w:szCs w:val="28"/>
        </w:rPr>
        <w:t>年</w:t>
      </w:r>
      <w:r w:rsidR="00031355" w:rsidRPr="00AE0D77">
        <w:rPr>
          <w:rFonts w:eastAsia="標楷體"/>
          <w:b/>
          <w:bCs/>
          <w:sz w:val="28"/>
          <w:szCs w:val="28"/>
        </w:rPr>
        <w:t>5</w:t>
      </w:r>
      <w:r w:rsidR="00031355" w:rsidRPr="00AE0D77">
        <w:rPr>
          <w:rFonts w:eastAsia="標楷體"/>
          <w:b/>
          <w:bCs/>
          <w:sz w:val="28"/>
          <w:szCs w:val="28"/>
        </w:rPr>
        <w:t>月電子零組件業增加</w:t>
      </w:r>
      <w:r w:rsidR="00031355" w:rsidRPr="00AE0D77">
        <w:rPr>
          <w:rFonts w:eastAsia="標楷體"/>
          <w:b/>
          <w:bCs/>
          <w:sz w:val="28"/>
          <w:szCs w:val="28"/>
        </w:rPr>
        <w:t>5.19</w:t>
      </w:r>
      <w:r w:rsidR="00031355" w:rsidRPr="00AE0D77">
        <w:rPr>
          <w:rFonts w:eastAsia="標楷體"/>
          <w:b/>
          <w:snapToGrid w:val="0"/>
          <w:sz w:val="28"/>
          <w:szCs w:val="28"/>
        </w:rPr>
        <w:t>%</w:t>
      </w:r>
    </w:p>
    <w:p w:rsidR="00881FAD" w:rsidRPr="00AE0D77" w:rsidRDefault="00031355" w:rsidP="00696AF1">
      <w:pPr>
        <w:pStyle w:val="13"/>
        <w:numPr>
          <w:ilvl w:val="0"/>
          <w:numId w:val="2"/>
        </w:numPr>
        <w:spacing w:beforeLines="50" w:before="180" w:line="300" w:lineRule="auto"/>
        <w:textAlignment w:val="center"/>
        <w:rPr>
          <w:rFonts w:eastAsia="標楷體"/>
          <w:szCs w:val="28"/>
        </w:rPr>
      </w:pPr>
      <w:r w:rsidRPr="00AE0D77">
        <w:rPr>
          <w:rFonts w:eastAsia="標楷體"/>
          <w:snapToGrid w:val="0"/>
          <w:szCs w:val="28"/>
        </w:rPr>
        <w:t>電子零組件業年增</w:t>
      </w:r>
      <w:r w:rsidRPr="00AE0D77">
        <w:rPr>
          <w:rFonts w:eastAsia="標楷體"/>
          <w:snapToGrid w:val="0"/>
          <w:szCs w:val="28"/>
        </w:rPr>
        <w:t>5.19%</w:t>
      </w:r>
      <w:r w:rsidRPr="00AE0D77">
        <w:rPr>
          <w:rFonts w:eastAsia="標楷體"/>
          <w:snapToGrid w:val="0"/>
          <w:szCs w:val="28"/>
        </w:rPr>
        <w:t>，主因半導體高階製程訂單挹注，以及客戶端庫存去化順利，帶動晶圓代工、</w:t>
      </w:r>
      <w:r w:rsidRPr="00AE0D77">
        <w:rPr>
          <w:rFonts w:eastAsia="標楷體"/>
          <w:snapToGrid w:val="0"/>
          <w:szCs w:val="28"/>
        </w:rPr>
        <w:t xml:space="preserve">IC </w:t>
      </w:r>
      <w:r w:rsidRPr="00AE0D77">
        <w:rPr>
          <w:rFonts w:eastAsia="標楷體"/>
          <w:snapToGrid w:val="0"/>
          <w:szCs w:val="28"/>
        </w:rPr>
        <w:t>製造、構裝</w:t>
      </w:r>
      <w:r w:rsidRPr="00AE0D77">
        <w:rPr>
          <w:rFonts w:eastAsia="標楷體"/>
          <w:snapToGrid w:val="0"/>
          <w:szCs w:val="28"/>
        </w:rPr>
        <w:t xml:space="preserve">IC </w:t>
      </w:r>
      <w:r w:rsidRPr="00AE0D77">
        <w:rPr>
          <w:rFonts w:eastAsia="標楷體"/>
          <w:snapToGrid w:val="0"/>
          <w:szCs w:val="28"/>
        </w:rPr>
        <w:t>等持續增產，致積體電路業年增</w:t>
      </w:r>
      <w:r w:rsidRPr="00AE0D77">
        <w:rPr>
          <w:rFonts w:eastAsia="標楷體"/>
          <w:snapToGrid w:val="0"/>
          <w:szCs w:val="28"/>
        </w:rPr>
        <w:t>11.96%</w:t>
      </w:r>
      <w:r w:rsidRPr="00AE0D77">
        <w:rPr>
          <w:rFonts w:eastAsia="標楷體"/>
          <w:snapToGrid w:val="0"/>
          <w:szCs w:val="28"/>
        </w:rPr>
        <w:t>，加上面板需求續強，</w:t>
      </w:r>
      <w:r w:rsidRPr="00AE0D77">
        <w:rPr>
          <w:rFonts w:eastAsia="標楷體"/>
          <w:snapToGrid w:val="0"/>
          <w:szCs w:val="28"/>
        </w:rPr>
        <w:t xml:space="preserve">TFT-LCD </w:t>
      </w:r>
      <w:r w:rsidRPr="00AE0D77">
        <w:rPr>
          <w:rFonts w:eastAsia="標楷體"/>
          <w:snapToGrid w:val="0"/>
          <w:szCs w:val="28"/>
        </w:rPr>
        <w:t>面板、</w:t>
      </w:r>
      <w:r w:rsidRPr="00AE0D77">
        <w:rPr>
          <w:rFonts w:eastAsia="標楷體"/>
          <w:snapToGrid w:val="0"/>
          <w:szCs w:val="28"/>
        </w:rPr>
        <w:t xml:space="preserve">LCD </w:t>
      </w:r>
      <w:r w:rsidRPr="00AE0D77">
        <w:rPr>
          <w:rFonts w:eastAsia="標楷體"/>
          <w:snapToGrid w:val="0"/>
          <w:szCs w:val="28"/>
        </w:rPr>
        <w:t>用玻璃基板、彩色濾光片同步增產，致液晶面板及其組件業年增</w:t>
      </w:r>
      <w:r w:rsidRPr="00AE0D77">
        <w:rPr>
          <w:rFonts w:eastAsia="標楷體"/>
          <w:snapToGrid w:val="0"/>
          <w:szCs w:val="28"/>
        </w:rPr>
        <w:t>11.28%</w:t>
      </w:r>
      <w:r w:rsidRPr="00AE0D77">
        <w:rPr>
          <w:rFonts w:eastAsia="標楷體"/>
          <w:snapToGrid w:val="0"/>
          <w:szCs w:val="28"/>
        </w:rPr>
        <w:t>。累計</w:t>
      </w:r>
      <w:r w:rsidRPr="00AE0D77">
        <w:rPr>
          <w:rFonts w:eastAsia="標楷體"/>
          <w:snapToGrid w:val="0"/>
          <w:szCs w:val="28"/>
        </w:rPr>
        <w:t>1</w:t>
      </w:r>
      <w:r w:rsidRPr="00AE0D77">
        <w:rPr>
          <w:rFonts w:eastAsia="標楷體"/>
          <w:snapToGrid w:val="0"/>
          <w:szCs w:val="28"/>
        </w:rPr>
        <w:t>至</w:t>
      </w:r>
      <w:r w:rsidRPr="00AE0D77">
        <w:rPr>
          <w:rFonts w:eastAsia="標楷體"/>
          <w:snapToGrid w:val="0"/>
          <w:szCs w:val="28"/>
        </w:rPr>
        <w:t>5</w:t>
      </w:r>
      <w:r w:rsidRPr="00AE0D77">
        <w:rPr>
          <w:rFonts w:eastAsia="標楷體"/>
          <w:snapToGrid w:val="0"/>
          <w:szCs w:val="28"/>
        </w:rPr>
        <w:t>月較上年同期增加</w:t>
      </w:r>
      <w:r w:rsidRPr="00AE0D77">
        <w:rPr>
          <w:rFonts w:eastAsia="標楷體"/>
          <w:snapToGrid w:val="0"/>
          <w:szCs w:val="28"/>
        </w:rPr>
        <w:t>10.07%</w:t>
      </w:r>
      <w:r w:rsidRPr="00AE0D77">
        <w:rPr>
          <w:rFonts w:eastAsia="標楷體"/>
          <w:snapToGrid w:val="0"/>
          <w:szCs w:val="28"/>
        </w:rPr>
        <w:t>。</w:t>
      </w:r>
    </w:p>
    <w:p w:rsidR="00031355" w:rsidRPr="00AE0D77" w:rsidRDefault="00031355" w:rsidP="00031355">
      <w:pPr>
        <w:pStyle w:val="13"/>
        <w:numPr>
          <w:ilvl w:val="0"/>
          <w:numId w:val="2"/>
        </w:numPr>
        <w:spacing w:beforeLines="50" w:before="180" w:line="300" w:lineRule="auto"/>
        <w:textAlignment w:val="center"/>
        <w:rPr>
          <w:rFonts w:eastAsia="標楷體"/>
          <w:snapToGrid w:val="0"/>
          <w:szCs w:val="28"/>
        </w:rPr>
      </w:pPr>
      <w:r w:rsidRPr="00AE0D77">
        <w:rPr>
          <w:rFonts w:eastAsia="標楷體"/>
          <w:snapToGrid w:val="0"/>
          <w:szCs w:val="28"/>
        </w:rPr>
        <w:t>化學材料業年增</w:t>
      </w:r>
      <w:r w:rsidRPr="00AE0D77">
        <w:rPr>
          <w:rFonts w:eastAsia="標楷體"/>
          <w:snapToGrid w:val="0"/>
          <w:szCs w:val="28"/>
        </w:rPr>
        <w:t>3.25%</w:t>
      </w:r>
      <w:r w:rsidRPr="00AE0D77">
        <w:rPr>
          <w:rFonts w:eastAsia="標楷體"/>
          <w:snapToGrid w:val="0"/>
          <w:szCs w:val="28"/>
        </w:rPr>
        <w:t>，主因輕裂廠歲修結束恢復生產，以及石化原料市場買氣回溫，其中以乙二醇、泛用樹脂及異辛醇增產較多。累計</w:t>
      </w:r>
      <w:r w:rsidRPr="00AE0D77">
        <w:rPr>
          <w:rFonts w:eastAsia="標楷體"/>
          <w:snapToGrid w:val="0"/>
          <w:szCs w:val="28"/>
        </w:rPr>
        <w:t>1</w:t>
      </w:r>
      <w:r w:rsidRPr="00AE0D77">
        <w:rPr>
          <w:rFonts w:eastAsia="標楷體"/>
          <w:snapToGrid w:val="0"/>
          <w:szCs w:val="28"/>
        </w:rPr>
        <w:t>至</w:t>
      </w:r>
      <w:r w:rsidRPr="00AE0D77">
        <w:rPr>
          <w:rFonts w:eastAsia="標楷體"/>
          <w:snapToGrid w:val="0"/>
          <w:szCs w:val="28"/>
        </w:rPr>
        <w:t>5</w:t>
      </w:r>
      <w:r w:rsidRPr="00AE0D77">
        <w:rPr>
          <w:rFonts w:eastAsia="標楷體"/>
          <w:snapToGrid w:val="0"/>
          <w:szCs w:val="28"/>
        </w:rPr>
        <w:t>月較上年同期增加</w:t>
      </w:r>
      <w:r w:rsidRPr="00AE0D77">
        <w:rPr>
          <w:rFonts w:eastAsia="標楷體"/>
          <w:snapToGrid w:val="0"/>
          <w:szCs w:val="28"/>
        </w:rPr>
        <w:t>0.98%</w:t>
      </w:r>
      <w:r w:rsidRPr="00AE0D77">
        <w:rPr>
          <w:rFonts w:eastAsia="標楷體"/>
          <w:snapToGrid w:val="0"/>
          <w:szCs w:val="28"/>
        </w:rPr>
        <w:t>。</w:t>
      </w:r>
    </w:p>
    <w:p w:rsidR="00031355" w:rsidRPr="00AE0D77" w:rsidRDefault="00031355" w:rsidP="00031355">
      <w:pPr>
        <w:pStyle w:val="13"/>
        <w:numPr>
          <w:ilvl w:val="0"/>
          <w:numId w:val="2"/>
        </w:numPr>
        <w:spacing w:beforeLines="50" w:before="180" w:line="300" w:lineRule="auto"/>
        <w:textAlignment w:val="center"/>
        <w:rPr>
          <w:rFonts w:eastAsia="標楷體"/>
          <w:snapToGrid w:val="0"/>
          <w:szCs w:val="28"/>
        </w:rPr>
      </w:pPr>
      <w:r w:rsidRPr="00AE0D77">
        <w:rPr>
          <w:rFonts w:eastAsia="標楷體"/>
          <w:snapToGrid w:val="0"/>
          <w:szCs w:val="28"/>
        </w:rPr>
        <w:t>基本金屬業年增</w:t>
      </w:r>
      <w:r w:rsidRPr="00AE0D77">
        <w:rPr>
          <w:rFonts w:eastAsia="標楷體"/>
          <w:snapToGrid w:val="0"/>
          <w:szCs w:val="28"/>
        </w:rPr>
        <w:t>2.70%</w:t>
      </w:r>
      <w:r w:rsidRPr="00AE0D77">
        <w:rPr>
          <w:rFonts w:eastAsia="標楷體"/>
          <w:snapToGrid w:val="0"/>
          <w:szCs w:val="28"/>
        </w:rPr>
        <w:t>，主因鋼鐵大廠高爐預計於</w:t>
      </w:r>
      <w:r w:rsidRPr="00AE0D77">
        <w:rPr>
          <w:rFonts w:eastAsia="標楷體"/>
          <w:snapToGrid w:val="0"/>
          <w:szCs w:val="28"/>
        </w:rPr>
        <w:t>10</w:t>
      </w:r>
      <w:r w:rsidRPr="00AE0D77">
        <w:rPr>
          <w:rFonts w:eastAsia="標楷體"/>
          <w:snapToGrid w:val="0"/>
          <w:szCs w:val="28"/>
        </w:rPr>
        <w:t>月進行為期</w:t>
      </w:r>
      <w:r w:rsidRPr="00AE0D77">
        <w:rPr>
          <w:rFonts w:eastAsia="標楷體"/>
          <w:snapToGrid w:val="0"/>
          <w:szCs w:val="28"/>
        </w:rPr>
        <w:t>5</w:t>
      </w:r>
      <w:r w:rsidRPr="00AE0D77">
        <w:rPr>
          <w:rFonts w:eastAsia="標楷體"/>
          <w:snapToGrid w:val="0"/>
          <w:szCs w:val="28"/>
        </w:rPr>
        <w:t>個月的檢修，先行生產備貨，其中以鋼胚及熱軋鋼板增產較多，另銅箔亦受惠於電子零組件需求暢旺而增產。累計</w:t>
      </w:r>
      <w:r w:rsidRPr="00AE0D77">
        <w:rPr>
          <w:rFonts w:eastAsia="標楷體"/>
          <w:snapToGrid w:val="0"/>
          <w:szCs w:val="28"/>
        </w:rPr>
        <w:t>1</w:t>
      </w:r>
      <w:r w:rsidRPr="00AE0D77">
        <w:rPr>
          <w:rFonts w:eastAsia="標楷體"/>
          <w:snapToGrid w:val="0"/>
          <w:szCs w:val="28"/>
        </w:rPr>
        <w:t>至</w:t>
      </w:r>
      <w:r w:rsidRPr="00AE0D77">
        <w:rPr>
          <w:rFonts w:eastAsia="標楷體"/>
          <w:snapToGrid w:val="0"/>
          <w:szCs w:val="28"/>
        </w:rPr>
        <w:t>5</w:t>
      </w:r>
      <w:r w:rsidRPr="00AE0D77">
        <w:rPr>
          <w:rFonts w:eastAsia="標楷體"/>
          <w:snapToGrid w:val="0"/>
          <w:szCs w:val="28"/>
        </w:rPr>
        <w:t>月較上年同期增加</w:t>
      </w:r>
      <w:r w:rsidRPr="00AE0D77">
        <w:rPr>
          <w:rFonts w:eastAsia="標楷體"/>
          <w:snapToGrid w:val="0"/>
          <w:szCs w:val="28"/>
        </w:rPr>
        <w:t>4.96%</w:t>
      </w:r>
      <w:r w:rsidRPr="00AE0D77">
        <w:rPr>
          <w:rFonts w:eastAsia="標楷體"/>
          <w:snapToGrid w:val="0"/>
          <w:szCs w:val="28"/>
        </w:rPr>
        <w:t>。</w:t>
      </w:r>
    </w:p>
    <w:p w:rsidR="00031355" w:rsidRPr="00AE0D77" w:rsidRDefault="00031355" w:rsidP="00031355">
      <w:pPr>
        <w:pStyle w:val="13"/>
        <w:numPr>
          <w:ilvl w:val="0"/>
          <w:numId w:val="2"/>
        </w:numPr>
        <w:spacing w:beforeLines="50" w:before="180" w:line="300" w:lineRule="auto"/>
        <w:textAlignment w:val="center"/>
        <w:rPr>
          <w:rFonts w:eastAsia="標楷體"/>
          <w:snapToGrid w:val="0"/>
          <w:szCs w:val="28"/>
        </w:rPr>
      </w:pPr>
      <w:r w:rsidRPr="00AE0D77">
        <w:rPr>
          <w:rFonts w:eastAsia="標楷體"/>
          <w:snapToGrid w:val="0"/>
          <w:szCs w:val="28"/>
        </w:rPr>
        <w:t>電腦電子產品及光學製品業年減</w:t>
      </w:r>
      <w:r w:rsidRPr="00AE0D77">
        <w:rPr>
          <w:rFonts w:eastAsia="標楷體"/>
          <w:snapToGrid w:val="0"/>
          <w:szCs w:val="28"/>
        </w:rPr>
        <w:t>12.23%</w:t>
      </w:r>
      <w:r w:rsidRPr="00AE0D77">
        <w:rPr>
          <w:rFonts w:eastAsia="標楷體"/>
          <w:snapToGrid w:val="0"/>
          <w:szCs w:val="28"/>
        </w:rPr>
        <w:t>，主因手持行動裝置因國際競爭激烈、虛擬實境裝置因市場買氣降溫而減產，加上固態硬碟、隨身碟受部分關鍵零組件缺料影響致生產下滑。累計</w:t>
      </w:r>
      <w:r w:rsidRPr="00AE0D77">
        <w:rPr>
          <w:rFonts w:eastAsia="標楷體"/>
          <w:snapToGrid w:val="0"/>
          <w:szCs w:val="28"/>
        </w:rPr>
        <w:t>1</w:t>
      </w:r>
      <w:r w:rsidRPr="00AE0D77">
        <w:rPr>
          <w:rFonts w:eastAsia="標楷體"/>
          <w:snapToGrid w:val="0"/>
          <w:szCs w:val="28"/>
        </w:rPr>
        <w:t>至</w:t>
      </w:r>
      <w:r w:rsidRPr="00AE0D77">
        <w:rPr>
          <w:rFonts w:eastAsia="標楷體"/>
          <w:snapToGrid w:val="0"/>
          <w:szCs w:val="28"/>
        </w:rPr>
        <w:t>5</w:t>
      </w:r>
      <w:r w:rsidRPr="00AE0D77">
        <w:rPr>
          <w:rFonts w:eastAsia="標楷體"/>
          <w:snapToGrid w:val="0"/>
          <w:szCs w:val="28"/>
        </w:rPr>
        <w:t>月較上年同期減少</w:t>
      </w:r>
      <w:r w:rsidRPr="00AE0D77">
        <w:rPr>
          <w:rFonts w:eastAsia="標楷體"/>
          <w:snapToGrid w:val="0"/>
          <w:szCs w:val="28"/>
        </w:rPr>
        <w:t>6.96%</w:t>
      </w:r>
      <w:r w:rsidRPr="00AE0D77">
        <w:rPr>
          <w:rFonts w:eastAsia="標楷體"/>
          <w:snapToGrid w:val="0"/>
          <w:szCs w:val="28"/>
        </w:rPr>
        <w:t>。</w:t>
      </w:r>
    </w:p>
    <w:p w:rsidR="00031355" w:rsidRPr="00AE0D77" w:rsidRDefault="00031355" w:rsidP="00031355">
      <w:pPr>
        <w:pStyle w:val="13"/>
        <w:numPr>
          <w:ilvl w:val="0"/>
          <w:numId w:val="2"/>
        </w:numPr>
        <w:spacing w:beforeLines="50" w:before="180" w:line="300" w:lineRule="auto"/>
        <w:textAlignment w:val="center"/>
        <w:rPr>
          <w:rFonts w:eastAsia="標楷體"/>
          <w:snapToGrid w:val="0"/>
          <w:szCs w:val="28"/>
        </w:rPr>
      </w:pPr>
      <w:r w:rsidRPr="00AE0D77">
        <w:rPr>
          <w:rFonts w:eastAsia="標楷體"/>
          <w:snapToGrid w:val="0"/>
          <w:szCs w:val="28"/>
        </w:rPr>
        <w:t>機械設備業年增</w:t>
      </w:r>
      <w:r w:rsidRPr="00AE0D77">
        <w:rPr>
          <w:rFonts w:eastAsia="標楷體"/>
          <w:snapToGrid w:val="0"/>
          <w:szCs w:val="28"/>
        </w:rPr>
        <w:t>7.48%</w:t>
      </w:r>
      <w:r w:rsidRPr="00AE0D77">
        <w:rPr>
          <w:rFonts w:eastAsia="標楷體"/>
          <w:snapToGrid w:val="0"/>
          <w:szCs w:val="28"/>
        </w:rPr>
        <w:t>，連續第</w:t>
      </w:r>
      <w:r w:rsidRPr="00AE0D77">
        <w:rPr>
          <w:rFonts w:eastAsia="標楷體"/>
          <w:snapToGrid w:val="0"/>
          <w:szCs w:val="28"/>
        </w:rPr>
        <w:t>7</w:t>
      </w:r>
      <w:r w:rsidRPr="00AE0D77">
        <w:rPr>
          <w:rFonts w:eastAsia="標楷體"/>
          <w:snapToGrid w:val="0"/>
          <w:szCs w:val="28"/>
        </w:rPr>
        <w:t>個月正成長，主因新興科技加速開發，帶動電子產品生產設備需求擴增，及線性滑軌、滾珠螺桿等持續增產。累計</w:t>
      </w:r>
      <w:r w:rsidRPr="00AE0D77">
        <w:rPr>
          <w:rFonts w:eastAsia="標楷體"/>
          <w:snapToGrid w:val="0"/>
          <w:szCs w:val="28"/>
        </w:rPr>
        <w:t>1</w:t>
      </w:r>
      <w:r w:rsidRPr="00AE0D77">
        <w:rPr>
          <w:rFonts w:eastAsia="標楷體"/>
          <w:snapToGrid w:val="0"/>
          <w:szCs w:val="28"/>
        </w:rPr>
        <w:t>至</w:t>
      </w:r>
      <w:r w:rsidRPr="00AE0D77">
        <w:rPr>
          <w:rFonts w:eastAsia="標楷體"/>
          <w:snapToGrid w:val="0"/>
          <w:szCs w:val="28"/>
        </w:rPr>
        <w:t>5</w:t>
      </w:r>
      <w:r w:rsidRPr="00AE0D77">
        <w:rPr>
          <w:rFonts w:eastAsia="標楷體"/>
          <w:snapToGrid w:val="0"/>
          <w:szCs w:val="28"/>
        </w:rPr>
        <w:t>月較上年同期增加</w:t>
      </w:r>
      <w:r w:rsidRPr="00AE0D77">
        <w:rPr>
          <w:rFonts w:eastAsia="標楷體"/>
          <w:snapToGrid w:val="0"/>
          <w:szCs w:val="28"/>
        </w:rPr>
        <w:t>8.52%</w:t>
      </w:r>
      <w:r w:rsidRPr="00AE0D77">
        <w:rPr>
          <w:rFonts w:eastAsia="標楷體"/>
          <w:snapToGrid w:val="0"/>
          <w:szCs w:val="28"/>
        </w:rPr>
        <w:t>。</w:t>
      </w:r>
    </w:p>
    <w:p w:rsidR="007D7C12" w:rsidRPr="00AE0D77" w:rsidRDefault="00031355" w:rsidP="00031355">
      <w:pPr>
        <w:pStyle w:val="13"/>
        <w:numPr>
          <w:ilvl w:val="0"/>
          <w:numId w:val="2"/>
        </w:numPr>
        <w:spacing w:beforeLines="50" w:before="180" w:line="300" w:lineRule="auto"/>
        <w:textAlignment w:val="center"/>
        <w:rPr>
          <w:rFonts w:eastAsia="標楷體"/>
          <w:szCs w:val="28"/>
        </w:rPr>
      </w:pPr>
      <w:r w:rsidRPr="00AE0D77">
        <w:rPr>
          <w:rFonts w:eastAsia="標楷體"/>
          <w:snapToGrid w:val="0"/>
          <w:szCs w:val="28"/>
        </w:rPr>
        <w:t>汽車及其零件業年減</w:t>
      </w:r>
      <w:r w:rsidRPr="00AE0D77">
        <w:rPr>
          <w:rFonts w:eastAsia="標楷體"/>
          <w:snapToGrid w:val="0"/>
          <w:szCs w:val="28"/>
        </w:rPr>
        <w:t>7.86%</w:t>
      </w:r>
      <w:r w:rsidRPr="00AE0D77">
        <w:rPr>
          <w:rFonts w:eastAsia="標楷體"/>
          <w:snapToGrid w:val="0"/>
          <w:szCs w:val="28"/>
        </w:rPr>
        <w:t>，主因舊換新補助政策效益遞減，以及部分車廠進行設備維修，加上進口車積極搶市，排擠國產車之銷售，致汽車產量年減</w:t>
      </w:r>
      <w:r w:rsidRPr="00AE0D77">
        <w:rPr>
          <w:rFonts w:eastAsia="標楷體"/>
          <w:szCs w:val="28"/>
        </w:rPr>
        <w:t>23.55%</w:t>
      </w:r>
      <w:r w:rsidRPr="00AE0D77">
        <w:rPr>
          <w:rFonts w:eastAsia="標楷體"/>
          <w:szCs w:val="28"/>
        </w:rPr>
        <w:t>，汽車零件亦同步減產。累計</w:t>
      </w:r>
      <w:r w:rsidRPr="00AE0D77">
        <w:rPr>
          <w:rFonts w:eastAsia="標楷體"/>
          <w:szCs w:val="28"/>
        </w:rPr>
        <w:t>1</w:t>
      </w:r>
      <w:r w:rsidRPr="00AE0D77">
        <w:rPr>
          <w:rFonts w:eastAsia="標楷體"/>
          <w:szCs w:val="28"/>
        </w:rPr>
        <w:t>至</w:t>
      </w:r>
      <w:r w:rsidRPr="00AE0D77">
        <w:rPr>
          <w:rFonts w:eastAsia="標楷體"/>
          <w:szCs w:val="28"/>
        </w:rPr>
        <w:t>5</w:t>
      </w:r>
      <w:r w:rsidRPr="00AE0D77">
        <w:rPr>
          <w:rFonts w:eastAsia="標楷體"/>
          <w:szCs w:val="28"/>
        </w:rPr>
        <w:t>月較上年同期增加</w:t>
      </w:r>
      <w:r w:rsidRPr="00AE0D77">
        <w:rPr>
          <w:rFonts w:eastAsia="標楷體"/>
          <w:szCs w:val="28"/>
        </w:rPr>
        <w:t>0.15%</w:t>
      </w:r>
      <w:r w:rsidR="007D7C12" w:rsidRPr="00AE0D77">
        <w:rPr>
          <w:rFonts w:eastAsia="標楷體"/>
          <w:snapToGrid w:val="0"/>
          <w:szCs w:val="28"/>
        </w:rPr>
        <w:t>。</w:t>
      </w:r>
    </w:p>
    <w:p w:rsidR="00F67965" w:rsidRPr="00AE0D77" w:rsidRDefault="00F67965" w:rsidP="00F67965">
      <w:pPr>
        <w:widowControl/>
        <w:jc w:val="center"/>
        <w:rPr>
          <w:rFonts w:eastAsia="標楷體"/>
          <w:sz w:val="28"/>
          <w:szCs w:val="28"/>
        </w:rPr>
      </w:pPr>
      <w:r w:rsidRPr="00AE0D77">
        <w:rPr>
          <w:rFonts w:eastAsia="標楷體"/>
          <w:sz w:val="28"/>
          <w:szCs w:val="28"/>
        </w:rPr>
        <w:br w:type="page"/>
      </w:r>
    </w:p>
    <w:p w:rsidR="00A36793" w:rsidRPr="00AE0D77" w:rsidRDefault="00F67965" w:rsidP="00F67965">
      <w:pPr>
        <w:widowControl/>
        <w:jc w:val="center"/>
        <w:rPr>
          <w:rFonts w:eastAsia="標楷體"/>
          <w:b/>
          <w:bCs/>
        </w:rPr>
      </w:pPr>
      <w:r w:rsidRPr="00AE0D77">
        <w:rPr>
          <w:rFonts w:eastAsia="標楷體"/>
          <w:b/>
          <w:bCs/>
          <w:sz w:val="28"/>
        </w:rPr>
        <w:t>表</w:t>
      </w:r>
      <w:r w:rsidRPr="00AE0D77">
        <w:rPr>
          <w:rFonts w:eastAsia="標楷體"/>
          <w:b/>
          <w:bCs/>
          <w:sz w:val="28"/>
        </w:rPr>
        <w:t xml:space="preserve">2-2-3   </w:t>
      </w:r>
      <w:r w:rsidRPr="00AE0D77">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4A0" w:firstRow="1" w:lastRow="0" w:firstColumn="1" w:lastColumn="0" w:noHBand="0" w:noVBand="1"/>
      </w:tblPr>
      <w:tblGrid>
        <w:gridCol w:w="3809"/>
        <w:gridCol w:w="2410"/>
        <w:gridCol w:w="2410"/>
      </w:tblGrid>
      <w:tr w:rsidR="00031355" w:rsidRPr="00AE0D77" w:rsidTr="00031355">
        <w:trPr>
          <w:cantSplit/>
          <w:trHeight w:val="551"/>
          <w:jc w:val="center"/>
        </w:trPr>
        <w:tc>
          <w:tcPr>
            <w:tcW w:w="3809" w:type="dxa"/>
            <w:tcBorders>
              <w:top w:val="single" w:sz="6" w:space="0" w:color="auto"/>
              <w:left w:val="nil"/>
              <w:bottom w:val="single" w:sz="6" w:space="0" w:color="auto"/>
              <w:right w:val="single" w:sz="6" w:space="0" w:color="auto"/>
            </w:tcBorders>
            <w:tcMar>
              <w:top w:w="15" w:type="dxa"/>
              <w:left w:w="15" w:type="dxa"/>
              <w:bottom w:w="0" w:type="dxa"/>
              <w:right w:w="15" w:type="dxa"/>
            </w:tcMar>
            <w:vAlign w:val="center"/>
            <w:hideMark/>
          </w:tcPr>
          <w:p w:rsidR="00031355" w:rsidRPr="00AE0D77" w:rsidRDefault="00031355">
            <w:pPr>
              <w:snapToGrid w:val="0"/>
              <w:spacing w:line="400" w:lineRule="exact"/>
              <w:ind w:left="248"/>
              <w:jc w:val="center"/>
              <w:rPr>
                <w:rFonts w:eastAsia="標楷體"/>
                <w:b/>
                <w:bCs/>
              </w:rPr>
            </w:pPr>
            <w:r w:rsidRPr="00AE0D77">
              <w:rPr>
                <w:rFonts w:eastAsia="標楷體"/>
                <w:b/>
                <w:bCs/>
              </w:rPr>
              <w:t>中業別</w:t>
            </w:r>
          </w:p>
        </w:tc>
        <w:tc>
          <w:tcPr>
            <w:tcW w:w="2410" w:type="dxa"/>
            <w:tcBorders>
              <w:top w:val="single" w:sz="6" w:space="0" w:color="auto"/>
              <w:left w:val="single" w:sz="6" w:space="0" w:color="auto"/>
              <w:bottom w:val="single" w:sz="6" w:space="0" w:color="auto"/>
              <w:right w:val="single" w:sz="6" w:space="0" w:color="auto"/>
            </w:tcBorders>
            <w:vAlign w:val="center"/>
            <w:hideMark/>
          </w:tcPr>
          <w:p w:rsidR="00031355" w:rsidRPr="00AE0D77" w:rsidRDefault="00031355">
            <w:pPr>
              <w:snapToGrid w:val="0"/>
              <w:spacing w:line="320" w:lineRule="exact"/>
              <w:ind w:left="28"/>
              <w:jc w:val="center"/>
              <w:rPr>
                <w:rFonts w:eastAsia="標楷體"/>
                <w:b/>
                <w:bCs/>
              </w:rPr>
            </w:pPr>
            <w:r w:rsidRPr="00AE0D77">
              <w:rPr>
                <w:rFonts w:eastAsia="標楷體"/>
                <w:b/>
                <w:bCs/>
              </w:rPr>
              <w:t>106</w:t>
            </w:r>
            <w:r w:rsidRPr="00AE0D77">
              <w:rPr>
                <w:rFonts w:eastAsia="標楷體"/>
                <w:b/>
                <w:bCs/>
              </w:rPr>
              <w:t>年</w:t>
            </w:r>
            <w:r w:rsidRPr="00AE0D77">
              <w:rPr>
                <w:rFonts w:eastAsia="標楷體"/>
                <w:b/>
                <w:bCs/>
              </w:rPr>
              <w:t>5</w:t>
            </w:r>
            <w:r w:rsidRPr="00AE0D77">
              <w:rPr>
                <w:rFonts w:eastAsia="標楷體"/>
                <w:b/>
                <w:bCs/>
              </w:rPr>
              <w:t>月較</w:t>
            </w:r>
          </w:p>
          <w:p w:rsidR="00031355" w:rsidRPr="00AE0D77" w:rsidRDefault="00031355">
            <w:pPr>
              <w:snapToGrid w:val="0"/>
              <w:spacing w:line="320" w:lineRule="exact"/>
              <w:ind w:left="28"/>
              <w:jc w:val="center"/>
              <w:rPr>
                <w:rFonts w:eastAsia="標楷體"/>
              </w:rPr>
            </w:pPr>
            <w:r w:rsidRPr="00AE0D77">
              <w:rPr>
                <w:rFonts w:eastAsia="標楷體"/>
                <w:b/>
                <w:bCs/>
              </w:rPr>
              <w:t>105</w:t>
            </w:r>
            <w:r w:rsidRPr="00AE0D77">
              <w:rPr>
                <w:rFonts w:eastAsia="標楷體"/>
                <w:b/>
                <w:bCs/>
              </w:rPr>
              <w:t>年同月增減</w:t>
            </w:r>
            <w:r w:rsidRPr="00AE0D77">
              <w:rPr>
                <w:rFonts w:eastAsia="標楷體"/>
                <w:b/>
                <w:bCs/>
              </w:rPr>
              <w:t>(%)</w:t>
            </w:r>
          </w:p>
        </w:tc>
        <w:tc>
          <w:tcPr>
            <w:tcW w:w="2410" w:type="dxa"/>
            <w:tcBorders>
              <w:top w:val="single" w:sz="6" w:space="0" w:color="auto"/>
              <w:left w:val="single" w:sz="6" w:space="0" w:color="auto"/>
              <w:bottom w:val="single" w:sz="6" w:space="0" w:color="auto"/>
              <w:right w:val="nil"/>
            </w:tcBorders>
            <w:hideMark/>
          </w:tcPr>
          <w:p w:rsidR="00031355" w:rsidRPr="00AE0D77" w:rsidRDefault="00031355">
            <w:pPr>
              <w:snapToGrid w:val="0"/>
              <w:spacing w:line="320" w:lineRule="exact"/>
              <w:ind w:left="28"/>
              <w:jc w:val="center"/>
              <w:rPr>
                <w:rFonts w:eastAsia="標楷體"/>
                <w:b/>
                <w:bCs/>
              </w:rPr>
            </w:pPr>
            <w:r w:rsidRPr="00AE0D77">
              <w:rPr>
                <w:rFonts w:eastAsia="標楷體"/>
                <w:b/>
                <w:bCs/>
              </w:rPr>
              <w:t>106</w:t>
            </w:r>
            <w:r w:rsidRPr="00AE0D77">
              <w:rPr>
                <w:rFonts w:eastAsia="標楷體"/>
                <w:b/>
                <w:bCs/>
              </w:rPr>
              <w:t>年累計較</w:t>
            </w:r>
          </w:p>
          <w:p w:rsidR="00031355" w:rsidRPr="00AE0D77" w:rsidRDefault="00031355">
            <w:pPr>
              <w:snapToGrid w:val="0"/>
              <w:spacing w:line="320" w:lineRule="exact"/>
              <w:ind w:left="28"/>
              <w:jc w:val="center"/>
              <w:rPr>
                <w:rFonts w:eastAsia="標楷體"/>
                <w:b/>
                <w:bCs/>
              </w:rPr>
            </w:pPr>
            <w:r w:rsidRPr="00AE0D77">
              <w:rPr>
                <w:rFonts w:eastAsia="標楷體"/>
                <w:b/>
                <w:bCs/>
              </w:rPr>
              <w:t>105</w:t>
            </w:r>
            <w:r w:rsidRPr="00AE0D77">
              <w:rPr>
                <w:rFonts w:eastAsia="標楷體"/>
                <w:b/>
                <w:bCs/>
              </w:rPr>
              <w:t>年同期增減</w:t>
            </w:r>
            <w:r w:rsidRPr="00AE0D77">
              <w:rPr>
                <w:rFonts w:eastAsia="標楷體"/>
                <w:b/>
                <w:bCs/>
              </w:rPr>
              <w:t>(%)</w:t>
            </w:r>
          </w:p>
        </w:tc>
      </w:tr>
      <w:tr w:rsidR="00031355" w:rsidRPr="00AE0D77" w:rsidTr="00031355">
        <w:trPr>
          <w:cantSplit/>
          <w:trHeight w:val="340"/>
          <w:jc w:val="center"/>
        </w:trPr>
        <w:tc>
          <w:tcPr>
            <w:tcW w:w="3809" w:type="dxa"/>
            <w:tcBorders>
              <w:top w:val="single" w:sz="6" w:space="0" w:color="auto"/>
              <w:left w:val="nil"/>
              <w:bottom w:val="nil"/>
              <w:right w:val="single" w:sz="6" w:space="0" w:color="auto"/>
            </w:tcBorders>
            <w:tcMar>
              <w:top w:w="15" w:type="dxa"/>
              <w:left w:w="15" w:type="dxa"/>
              <w:bottom w:w="0" w:type="dxa"/>
              <w:right w:w="15" w:type="dxa"/>
            </w:tcMar>
            <w:vAlign w:val="center"/>
            <w:hideMark/>
          </w:tcPr>
          <w:p w:rsidR="00031355" w:rsidRPr="00AE0D77" w:rsidRDefault="00031355">
            <w:pPr>
              <w:snapToGrid w:val="0"/>
              <w:spacing w:line="400" w:lineRule="exact"/>
              <w:ind w:left="250"/>
              <w:rPr>
                <w:rFonts w:eastAsia="標楷體"/>
              </w:rPr>
            </w:pPr>
            <w:r w:rsidRPr="00AE0D77">
              <w:rPr>
                <w:rFonts w:eastAsia="標楷體"/>
              </w:rPr>
              <w:t>電子零組件業</w:t>
            </w:r>
          </w:p>
        </w:tc>
        <w:tc>
          <w:tcPr>
            <w:tcW w:w="2410" w:type="dxa"/>
            <w:tcBorders>
              <w:top w:val="single" w:sz="6" w:space="0" w:color="auto"/>
              <w:left w:val="single" w:sz="6" w:space="0" w:color="auto"/>
              <w:bottom w:val="nil"/>
              <w:right w:val="single" w:sz="6" w:space="0" w:color="auto"/>
            </w:tcBorders>
            <w:hideMark/>
          </w:tcPr>
          <w:p w:rsidR="00031355" w:rsidRPr="00AE0D77" w:rsidRDefault="00031355">
            <w:pPr>
              <w:ind w:rightChars="20" w:right="48"/>
              <w:jc w:val="center"/>
              <w:rPr>
                <w:rFonts w:eastAsia="標楷體"/>
              </w:rPr>
            </w:pPr>
            <w:r w:rsidRPr="00AE0D77">
              <w:rPr>
                <w:rFonts w:eastAsia="標楷體"/>
              </w:rPr>
              <w:t>5.19</w:t>
            </w:r>
          </w:p>
        </w:tc>
        <w:tc>
          <w:tcPr>
            <w:tcW w:w="2410" w:type="dxa"/>
            <w:tcBorders>
              <w:top w:val="single" w:sz="6" w:space="0" w:color="auto"/>
              <w:left w:val="single" w:sz="6" w:space="0" w:color="auto"/>
              <w:bottom w:val="nil"/>
              <w:right w:val="nil"/>
            </w:tcBorders>
            <w:vAlign w:val="center"/>
            <w:hideMark/>
          </w:tcPr>
          <w:p w:rsidR="00031355" w:rsidRPr="00AE0D77" w:rsidRDefault="00031355">
            <w:pPr>
              <w:tabs>
                <w:tab w:val="left" w:pos="1728"/>
              </w:tabs>
              <w:spacing w:line="400" w:lineRule="exact"/>
              <w:ind w:leftChars="30" w:left="72" w:rightChars="369" w:right="886"/>
              <w:jc w:val="right"/>
              <w:rPr>
                <w:rFonts w:eastAsia="標楷體"/>
              </w:rPr>
            </w:pPr>
            <w:r w:rsidRPr="00AE0D77">
              <w:rPr>
                <w:rFonts w:eastAsia="標楷體"/>
              </w:rPr>
              <w:t>10.07</w:t>
            </w:r>
          </w:p>
        </w:tc>
      </w:tr>
      <w:tr w:rsidR="00031355" w:rsidRPr="00AE0D77" w:rsidTr="00031355">
        <w:trPr>
          <w:cantSplit/>
          <w:trHeight w:val="33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031355" w:rsidRPr="00AE0D77" w:rsidRDefault="00031355">
            <w:pPr>
              <w:snapToGrid w:val="0"/>
              <w:spacing w:line="400" w:lineRule="exact"/>
              <w:ind w:left="250"/>
              <w:rPr>
                <w:rFonts w:eastAsia="標楷體"/>
              </w:rPr>
            </w:pPr>
            <w:r w:rsidRPr="00AE0D77">
              <w:rPr>
                <w:rFonts w:eastAsia="標楷體"/>
              </w:rPr>
              <w:t>化學材料業</w:t>
            </w:r>
          </w:p>
        </w:tc>
        <w:tc>
          <w:tcPr>
            <w:tcW w:w="2410" w:type="dxa"/>
            <w:tcBorders>
              <w:top w:val="nil"/>
              <w:left w:val="single" w:sz="6" w:space="0" w:color="auto"/>
              <w:bottom w:val="nil"/>
              <w:right w:val="single" w:sz="6" w:space="0" w:color="auto"/>
            </w:tcBorders>
            <w:hideMark/>
          </w:tcPr>
          <w:p w:rsidR="00031355" w:rsidRPr="00AE0D77" w:rsidRDefault="00031355">
            <w:pPr>
              <w:ind w:rightChars="20" w:right="48"/>
              <w:jc w:val="center"/>
              <w:rPr>
                <w:rFonts w:eastAsia="標楷體"/>
              </w:rPr>
            </w:pPr>
            <w:r w:rsidRPr="00AE0D77">
              <w:rPr>
                <w:rFonts w:eastAsia="標楷體"/>
              </w:rPr>
              <w:t>3.25</w:t>
            </w:r>
          </w:p>
        </w:tc>
        <w:tc>
          <w:tcPr>
            <w:tcW w:w="2410" w:type="dxa"/>
            <w:tcBorders>
              <w:top w:val="nil"/>
              <w:left w:val="single" w:sz="6" w:space="0" w:color="auto"/>
              <w:bottom w:val="nil"/>
              <w:right w:val="nil"/>
            </w:tcBorders>
            <w:hideMark/>
          </w:tcPr>
          <w:p w:rsidR="00031355" w:rsidRPr="00AE0D77" w:rsidRDefault="00031355">
            <w:pPr>
              <w:tabs>
                <w:tab w:val="left" w:pos="1728"/>
              </w:tabs>
              <w:spacing w:line="400" w:lineRule="exact"/>
              <w:ind w:leftChars="30" w:left="72" w:rightChars="369" w:right="886"/>
              <w:jc w:val="right"/>
              <w:rPr>
                <w:rFonts w:eastAsia="標楷體"/>
              </w:rPr>
            </w:pPr>
            <w:r w:rsidRPr="00AE0D77">
              <w:rPr>
                <w:rFonts w:eastAsia="標楷體"/>
              </w:rPr>
              <w:t>0.98</w:t>
            </w:r>
          </w:p>
        </w:tc>
      </w:tr>
      <w:tr w:rsidR="00031355" w:rsidRPr="00AE0D77" w:rsidTr="00031355">
        <w:trPr>
          <w:cantSplit/>
          <w:trHeight w:val="313"/>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031355" w:rsidRPr="00AE0D77" w:rsidRDefault="00031355">
            <w:pPr>
              <w:snapToGrid w:val="0"/>
              <w:spacing w:line="400" w:lineRule="exact"/>
              <w:ind w:left="250"/>
              <w:rPr>
                <w:rFonts w:eastAsia="標楷體"/>
              </w:rPr>
            </w:pPr>
            <w:r w:rsidRPr="00AE0D77">
              <w:rPr>
                <w:rFonts w:eastAsia="標楷體"/>
              </w:rPr>
              <w:t>基本金屬業</w:t>
            </w:r>
          </w:p>
        </w:tc>
        <w:tc>
          <w:tcPr>
            <w:tcW w:w="2410" w:type="dxa"/>
            <w:tcBorders>
              <w:top w:val="nil"/>
              <w:left w:val="single" w:sz="6" w:space="0" w:color="auto"/>
              <w:bottom w:val="nil"/>
              <w:right w:val="single" w:sz="6" w:space="0" w:color="auto"/>
            </w:tcBorders>
            <w:hideMark/>
          </w:tcPr>
          <w:p w:rsidR="00031355" w:rsidRPr="00AE0D77" w:rsidRDefault="00031355">
            <w:pPr>
              <w:ind w:rightChars="20" w:right="48"/>
              <w:jc w:val="center"/>
              <w:rPr>
                <w:rFonts w:eastAsia="標楷體"/>
              </w:rPr>
            </w:pPr>
            <w:r w:rsidRPr="00AE0D77">
              <w:rPr>
                <w:rFonts w:eastAsia="標楷體"/>
              </w:rPr>
              <w:t>2.70</w:t>
            </w:r>
          </w:p>
        </w:tc>
        <w:tc>
          <w:tcPr>
            <w:tcW w:w="2410" w:type="dxa"/>
            <w:tcBorders>
              <w:top w:val="nil"/>
              <w:left w:val="single" w:sz="6" w:space="0" w:color="auto"/>
              <w:bottom w:val="nil"/>
              <w:right w:val="nil"/>
            </w:tcBorders>
            <w:hideMark/>
          </w:tcPr>
          <w:p w:rsidR="00031355" w:rsidRPr="00AE0D77" w:rsidRDefault="00031355">
            <w:pPr>
              <w:tabs>
                <w:tab w:val="left" w:pos="1728"/>
              </w:tabs>
              <w:spacing w:line="400" w:lineRule="exact"/>
              <w:ind w:leftChars="30" w:left="72" w:rightChars="369" w:right="886"/>
              <w:jc w:val="right"/>
              <w:rPr>
                <w:rFonts w:eastAsia="標楷體"/>
              </w:rPr>
            </w:pPr>
            <w:r w:rsidRPr="00AE0D77">
              <w:rPr>
                <w:rFonts w:eastAsia="標楷體"/>
              </w:rPr>
              <w:t>4.96</w:t>
            </w:r>
          </w:p>
        </w:tc>
      </w:tr>
      <w:tr w:rsidR="00031355" w:rsidRPr="00AE0D77" w:rsidTr="00031355">
        <w:trPr>
          <w:cantSplit/>
          <w:trHeight w:val="374"/>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031355" w:rsidRPr="00AE0D77" w:rsidRDefault="00031355">
            <w:pPr>
              <w:snapToGrid w:val="0"/>
              <w:spacing w:line="400" w:lineRule="exact"/>
              <w:ind w:left="250"/>
              <w:rPr>
                <w:rFonts w:eastAsia="標楷體"/>
              </w:rPr>
            </w:pPr>
            <w:r w:rsidRPr="00AE0D77">
              <w:rPr>
                <w:rFonts w:eastAsia="標楷體"/>
                <w:snapToGrid w:val="0"/>
              </w:rPr>
              <w:t>電腦、電子產品及光學製品業</w:t>
            </w:r>
          </w:p>
        </w:tc>
        <w:tc>
          <w:tcPr>
            <w:tcW w:w="2410" w:type="dxa"/>
            <w:tcBorders>
              <w:top w:val="nil"/>
              <w:left w:val="single" w:sz="6" w:space="0" w:color="auto"/>
              <w:bottom w:val="nil"/>
              <w:right w:val="single" w:sz="6" w:space="0" w:color="auto"/>
            </w:tcBorders>
            <w:hideMark/>
          </w:tcPr>
          <w:p w:rsidR="00031355" w:rsidRPr="00AE0D77" w:rsidRDefault="00031355">
            <w:pPr>
              <w:ind w:rightChars="20" w:right="48"/>
              <w:jc w:val="center"/>
              <w:rPr>
                <w:rFonts w:eastAsia="標楷體"/>
              </w:rPr>
            </w:pPr>
            <w:r w:rsidRPr="00AE0D77">
              <w:rPr>
                <w:rFonts w:eastAsia="標楷體"/>
              </w:rPr>
              <w:t>-12.23</w:t>
            </w:r>
          </w:p>
        </w:tc>
        <w:tc>
          <w:tcPr>
            <w:tcW w:w="2410" w:type="dxa"/>
            <w:tcBorders>
              <w:top w:val="nil"/>
              <w:left w:val="single" w:sz="6" w:space="0" w:color="auto"/>
              <w:bottom w:val="nil"/>
              <w:right w:val="nil"/>
            </w:tcBorders>
            <w:hideMark/>
          </w:tcPr>
          <w:p w:rsidR="00031355" w:rsidRPr="00AE0D77" w:rsidRDefault="00031355">
            <w:pPr>
              <w:tabs>
                <w:tab w:val="left" w:pos="1728"/>
              </w:tabs>
              <w:spacing w:line="400" w:lineRule="exact"/>
              <w:ind w:leftChars="30" w:left="72" w:rightChars="369" w:right="886"/>
              <w:jc w:val="right"/>
              <w:rPr>
                <w:rFonts w:eastAsia="標楷體"/>
              </w:rPr>
            </w:pPr>
            <w:r w:rsidRPr="00AE0D77">
              <w:rPr>
                <w:rFonts w:eastAsia="標楷體"/>
              </w:rPr>
              <w:t>-6.96</w:t>
            </w:r>
          </w:p>
        </w:tc>
      </w:tr>
      <w:tr w:rsidR="00031355" w:rsidRPr="00AE0D77" w:rsidTr="00031355">
        <w:trPr>
          <w:cantSplit/>
          <w:trHeight w:val="34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031355" w:rsidRPr="00AE0D77" w:rsidRDefault="00031355">
            <w:pPr>
              <w:snapToGrid w:val="0"/>
              <w:spacing w:line="400" w:lineRule="exact"/>
              <w:ind w:left="250"/>
              <w:rPr>
                <w:rFonts w:eastAsia="標楷體"/>
              </w:rPr>
            </w:pPr>
            <w:r w:rsidRPr="00AE0D77">
              <w:rPr>
                <w:rFonts w:eastAsia="標楷體"/>
              </w:rPr>
              <w:t>機械設備業</w:t>
            </w:r>
          </w:p>
        </w:tc>
        <w:tc>
          <w:tcPr>
            <w:tcW w:w="2410" w:type="dxa"/>
            <w:tcBorders>
              <w:top w:val="nil"/>
              <w:left w:val="single" w:sz="6" w:space="0" w:color="auto"/>
              <w:bottom w:val="nil"/>
              <w:right w:val="single" w:sz="6" w:space="0" w:color="auto"/>
            </w:tcBorders>
            <w:hideMark/>
          </w:tcPr>
          <w:p w:rsidR="00031355" w:rsidRPr="00AE0D77" w:rsidRDefault="00031355">
            <w:pPr>
              <w:ind w:rightChars="20" w:right="48"/>
              <w:jc w:val="center"/>
              <w:rPr>
                <w:rFonts w:eastAsia="標楷體"/>
              </w:rPr>
            </w:pPr>
            <w:r w:rsidRPr="00AE0D77">
              <w:rPr>
                <w:rFonts w:eastAsia="標楷體"/>
              </w:rPr>
              <w:t>7.48</w:t>
            </w:r>
          </w:p>
        </w:tc>
        <w:tc>
          <w:tcPr>
            <w:tcW w:w="2410" w:type="dxa"/>
            <w:tcBorders>
              <w:top w:val="nil"/>
              <w:left w:val="single" w:sz="6" w:space="0" w:color="auto"/>
              <w:bottom w:val="nil"/>
              <w:right w:val="nil"/>
            </w:tcBorders>
            <w:hideMark/>
          </w:tcPr>
          <w:p w:rsidR="00031355" w:rsidRPr="00AE0D77" w:rsidRDefault="00031355">
            <w:pPr>
              <w:tabs>
                <w:tab w:val="left" w:pos="1728"/>
              </w:tabs>
              <w:spacing w:line="400" w:lineRule="exact"/>
              <w:ind w:leftChars="30" w:left="72" w:rightChars="369" w:right="886"/>
              <w:jc w:val="right"/>
              <w:rPr>
                <w:rFonts w:eastAsia="標楷體"/>
              </w:rPr>
            </w:pPr>
            <w:r w:rsidRPr="00AE0D77">
              <w:rPr>
                <w:rFonts w:eastAsia="標楷體"/>
              </w:rPr>
              <w:t>8.52</w:t>
            </w:r>
          </w:p>
        </w:tc>
      </w:tr>
      <w:tr w:rsidR="00031355" w:rsidRPr="00AE0D77" w:rsidTr="00031355">
        <w:trPr>
          <w:cantSplit/>
          <w:trHeight w:val="330"/>
          <w:jc w:val="center"/>
        </w:trPr>
        <w:tc>
          <w:tcPr>
            <w:tcW w:w="3809" w:type="dxa"/>
            <w:tcBorders>
              <w:top w:val="nil"/>
              <w:left w:val="nil"/>
              <w:bottom w:val="single" w:sz="6" w:space="0" w:color="auto"/>
              <w:right w:val="single" w:sz="6" w:space="0" w:color="auto"/>
            </w:tcBorders>
            <w:tcMar>
              <w:top w:w="15" w:type="dxa"/>
              <w:left w:w="15" w:type="dxa"/>
              <w:bottom w:w="0" w:type="dxa"/>
              <w:right w:w="15" w:type="dxa"/>
            </w:tcMar>
            <w:vAlign w:val="center"/>
            <w:hideMark/>
          </w:tcPr>
          <w:p w:rsidR="00031355" w:rsidRPr="00AE0D77" w:rsidRDefault="00031355">
            <w:pPr>
              <w:snapToGrid w:val="0"/>
              <w:spacing w:line="400" w:lineRule="exact"/>
              <w:ind w:left="250"/>
              <w:rPr>
                <w:rFonts w:eastAsia="標楷體"/>
              </w:rPr>
            </w:pPr>
            <w:r w:rsidRPr="00AE0D77">
              <w:rPr>
                <w:rFonts w:eastAsia="標楷體"/>
              </w:rPr>
              <w:t>汽車及其零件業</w:t>
            </w:r>
          </w:p>
        </w:tc>
        <w:tc>
          <w:tcPr>
            <w:tcW w:w="2410" w:type="dxa"/>
            <w:tcBorders>
              <w:top w:val="nil"/>
              <w:left w:val="single" w:sz="6" w:space="0" w:color="auto"/>
              <w:bottom w:val="single" w:sz="6" w:space="0" w:color="auto"/>
              <w:right w:val="single" w:sz="6" w:space="0" w:color="auto"/>
            </w:tcBorders>
            <w:hideMark/>
          </w:tcPr>
          <w:p w:rsidR="00031355" w:rsidRPr="00AE0D77" w:rsidRDefault="00031355">
            <w:pPr>
              <w:ind w:rightChars="20" w:right="48"/>
              <w:jc w:val="center"/>
              <w:rPr>
                <w:rFonts w:eastAsia="標楷體"/>
              </w:rPr>
            </w:pPr>
            <w:r w:rsidRPr="00AE0D77">
              <w:rPr>
                <w:rFonts w:eastAsia="標楷體"/>
              </w:rPr>
              <w:t>-7.86</w:t>
            </w:r>
          </w:p>
        </w:tc>
        <w:tc>
          <w:tcPr>
            <w:tcW w:w="2410" w:type="dxa"/>
            <w:tcBorders>
              <w:top w:val="nil"/>
              <w:left w:val="single" w:sz="6" w:space="0" w:color="auto"/>
              <w:bottom w:val="single" w:sz="6" w:space="0" w:color="auto"/>
              <w:right w:val="nil"/>
            </w:tcBorders>
            <w:hideMark/>
          </w:tcPr>
          <w:p w:rsidR="00031355" w:rsidRPr="00AE0D77" w:rsidRDefault="00031355">
            <w:pPr>
              <w:tabs>
                <w:tab w:val="left" w:pos="1728"/>
              </w:tabs>
              <w:spacing w:line="400" w:lineRule="exact"/>
              <w:ind w:leftChars="30" w:left="72" w:rightChars="369" w:right="886"/>
              <w:jc w:val="right"/>
              <w:rPr>
                <w:rFonts w:eastAsia="標楷體"/>
              </w:rPr>
            </w:pPr>
            <w:r w:rsidRPr="00AE0D77">
              <w:rPr>
                <w:rFonts w:eastAsia="標楷體"/>
              </w:rPr>
              <w:t>0.15</w:t>
            </w:r>
          </w:p>
        </w:tc>
      </w:tr>
    </w:tbl>
    <w:p w:rsidR="00FD74A1" w:rsidRPr="00AE0D77" w:rsidRDefault="00F67965" w:rsidP="003F3F99">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FD74A1" w:rsidRPr="00AE0D77" w:rsidRDefault="00FD74A1">
      <w:pPr>
        <w:widowControl/>
        <w:rPr>
          <w:rFonts w:eastAsia="標楷體"/>
          <w:sz w:val="22"/>
          <w:szCs w:val="22"/>
        </w:rPr>
      </w:pPr>
      <w:r w:rsidRPr="00AE0D77">
        <w:rPr>
          <w:rFonts w:eastAsia="標楷體"/>
          <w:sz w:val="22"/>
          <w:szCs w:val="22"/>
        </w:rPr>
        <w:br w:type="page"/>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86347631"/>
      <w:r w:rsidRPr="00AE0D77">
        <w:rPr>
          <w:rFonts w:eastAsia="標楷體"/>
          <w:b/>
          <w:bCs/>
          <w:sz w:val="32"/>
          <w:szCs w:val="32"/>
        </w:rPr>
        <w:t>（三）</w:t>
      </w:r>
      <w:bookmarkEnd w:id="94"/>
      <w:bookmarkEnd w:id="95"/>
      <w:r w:rsidR="007A10EC" w:rsidRPr="00AE0D77">
        <w:rPr>
          <w:rFonts w:eastAsia="標楷體"/>
          <w:b/>
          <w:bCs/>
          <w:sz w:val="32"/>
          <w:szCs w:val="32"/>
        </w:rPr>
        <w:t>批發、零售及餐飲業</w:t>
      </w:r>
      <w:bookmarkEnd w:id="96"/>
    </w:p>
    <w:p w:rsidR="00F67965" w:rsidRPr="00AE0D77" w:rsidRDefault="00F67965" w:rsidP="00301B9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AE0D77">
        <w:rPr>
          <w:rFonts w:eastAsia="標楷體"/>
          <w:b/>
          <w:bCs/>
          <w:kern w:val="0"/>
          <w:sz w:val="28"/>
          <w:szCs w:val="20"/>
        </w:rPr>
        <w:t>１、</w:t>
      </w:r>
      <w:r w:rsidR="00031355" w:rsidRPr="00AE0D77">
        <w:rPr>
          <w:rFonts w:eastAsia="標楷體"/>
          <w:b/>
          <w:bCs/>
          <w:kern w:val="0"/>
          <w:sz w:val="28"/>
          <w:szCs w:val="20"/>
        </w:rPr>
        <w:t>106</w:t>
      </w:r>
      <w:r w:rsidR="00031355" w:rsidRPr="00AE0D77">
        <w:rPr>
          <w:rFonts w:eastAsia="標楷體"/>
          <w:b/>
          <w:bCs/>
          <w:kern w:val="0"/>
          <w:sz w:val="28"/>
          <w:szCs w:val="20"/>
        </w:rPr>
        <w:t>年</w:t>
      </w:r>
      <w:r w:rsidR="00031355" w:rsidRPr="00AE0D77">
        <w:rPr>
          <w:rFonts w:eastAsia="標楷體"/>
          <w:b/>
          <w:bCs/>
          <w:kern w:val="0"/>
          <w:sz w:val="28"/>
          <w:szCs w:val="20"/>
        </w:rPr>
        <w:t>5</w:t>
      </w:r>
      <w:r w:rsidR="00031355" w:rsidRPr="00AE0D77">
        <w:rPr>
          <w:rFonts w:eastAsia="標楷體"/>
          <w:b/>
          <w:bCs/>
          <w:kern w:val="0"/>
          <w:sz w:val="28"/>
          <w:szCs w:val="20"/>
        </w:rPr>
        <w:t>月批發業、零售業及餐飲業營業額分別增加</w:t>
      </w:r>
      <w:r w:rsidR="00031355" w:rsidRPr="00AE0D77">
        <w:rPr>
          <w:rFonts w:eastAsia="標楷體"/>
          <w:b/>
          <w:bCs/>
          <w:kern w:val="0"/>
          <w:sz w:val="28"/>
          <w:szCs w:val="20"/>
        </w:rPr>
        <w:t>3.5%</w:t>
      </w:r>
      <w:r w:rsidR="00031355" w:rsidRPr="00AE0D77">
        <w:rPr>
          <w:rFonts w:eastAsia="標楷體"/>
          <w:b/>
          <w:bCs/>
          <w:kern w:val="0"/>
          <w:sz w:val="28"/>
          <w:szCs w:val="20"/>
        </w:rPr>
        <w:t>、</w:t>
      </w:r>
      <w:r w:rsidR="00031355" w:rsidRPr="00AE0D77">
        <w:rPr>
          <w:rFonts w:eastAsia="標楷體"/>
          <w:b/>
          <w:bCs/>
          <w:kern w:val="0"/>
          <w:sz w:val="28"/>
          <w:szCs w:val="20"/>
        </w:rPr>
        <w:t>1.0%</w:t>
      </w:r>
      <w:r w:rsidR="00031355" w:rsidRPr="00AE0D77">
        <w:rPr>
          <w:rFonts w:eastAsia="標楷體"/>
          <w:b/>
          <w:bCs/>
          <w:kern w:val="0"/>
          <w:sz w:val="28"/>
          <w:szCs w:val="20"/>
        </w:rPr>
        <w:t>及</w:t>
      </w:r>
      <w:r w:rsidR="00031355" w:rsidRPr="00AE0D77">
        <w:rPr>
          <w:rFonts w:eastAsia="標楷體"/>
          <w:b/>
          <w:bCs/>
          <w:kern w:val="0"/>
          <w:sz w:val="28"/>
          <w:szCs w:val="20"/>
        </w:rPr>
        <w:t>2.7%</w:t>
      </w:r>
    </w:p>
    <w:p w:rsidR="00F67965" w:rsidRPr="00AE0D77" w:rsidRDefault="00031355" w:rsidP="00436A7E">
      <w:pPr>
        <w:widowControl/>
        <w:topLinePunct/>
        <w:snapToGrid w:val="0"/>
        <w:spacing w:beforeLines="50" w:before="180" w:line="300" w:lineRule="auto"/>
        <w:ind w:rightChars="-21" w:right="-50"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月批發業、零售業及餐飲業營業額分別為</w:t>
      </w:r>
      <w:r w:rsidRPr="00AE0D77">
        <w:rPr>
          <w:rFonts w:eastAsia="標楷體"/>
          <w:kern w:val="0"/>
          <w:sz w:val="28"/>
          <w:szCs w:val="20"/>
        </w:rPr>
        <w:t>8,052</w:t>
      </w:r>
      <w:r w:rsidRPr="00AE0D77">
        <w:rPr>
          <w:rFonts w:eastAsia="標楷體"/>
          <w:kern w:val="0"/>
          <w:sz w:val="28"/>
          <w:szCs w:val="20"/>
        </w:rPr>
        <w:t>億元、</w:t>
      </w:r>
      <w:r w:rsidRPr="00AE0D77">
        <w:rPr>
          <w:rFonts w:eastAsia="標楷體"/>
          <w:kern w:val="0"/>
          <w:sz w:val="28"/>
          <w:szCs w:val="20"/>
        </w:rPr>
        <w:t>3,385</w:t>
      </w:r>
      <w:r w:rsidRPr="00AE0D77">
        <w:rPr>
          <w:rFonts w:eastAsia="標楷體"/>
          <w:kern w:val="0"/>
          <w:sz w:val="28"/>
          <w:szCs w:val="20"/>
        </w:rPr>
        <w:t>億元及</w:t>
      </w:r>
      <w:r w:rsidRPr="00AE0D77">
        <w:rPr>
          <w:rFonts w:eastAsia="標楷體"/>
          <w:kern w:val="0"/>
          <w:sz w:val="28"/>
          <w:szCs w:val="20"/>
        </w:rPr>
        <w:t>385</w:t>
      </w:r>
      <w:r w:rsidRPr="00AE0D77">
        <w:rPr>
          <w:rFonts w:eastAsia="標楷體"/>
          <w:kern w:val="0"/>
          <w:sz w:val="28"/>
          <w:szCs w:val="20"/>
        </w:rPr>
        <w:t>億元，分別較上年同月增加</w:t>
      </w:r>
      <w:r w:rsidRPr="00AE0D77">
        <w:rPr>
          <w:rFonts w:eastAsia="標楷體"/>
          <w:kern w:val="0"/>
          <w:sz w:val="28"/>
          <w:szCs w:val="20"/>
        </w:rPr>
        <w:t>3.5%</w:t>
      </w:r>
      <w:r w:rsidRPr="00AE0D77">
        <w:rPr>
          <w:rFonts w:eastAsia="標楷體"/>
          <w:kern w:val="0"/>
          <w:sz w:val="28"/>
          <w:szCs w:val="20"/>
        </w:rPr>
        <w:t>、</w:t>
      </w:r>
      <w:r w:rsidRPr="00AE0D77">
        <w:rPr>
          <w:rFonts w:eastAsia="標楷體"/>
          <w:kern w:val="0"/>
          <w:sz w:val="28"/>
          <w:szCs w:val="20"/>
        </w:rPr>
        <w:t>1.0%</w:t>
      </w:r>
      <w:r w:rsidRPr="00AE0D77">
        <w:rPr>
          <w:rFonts w:eastAsia="標楷體"/>
          <w:kern w:val="0"/>
          <w:sz w:val="28"/>
          <w:szCs w:val="20"/>
        </w:rPr>
        <w:t>及</w:t>
      </w:r>
      <w:r w:rsidRPr="00AE0D77">
        <w:rPr>
          <w:rFonts w:eastAsia="標楷體"/>
          <w:kern w:val="0"/>
          <w:sz w:val="28"/>
          <w:szCs w:val="20"/>
        </w:rPr>
        <w:t>2.7%</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Pr="00AE0D77">
        <w:rPr>
          <w:rFonts w:eastAsia="標楷體"/>
          <w:kern w:val="0"/>
          <w:sz w:val="28"/>
          <w:szCs w:val="20"/>
        </w:rPr>
        <w:t>5</w:t>
      </w:r>
      <w:r w:rsidRPr="00AE0D77">
        <w:rPr>
          <w:rFonts w:eastAsia="標楷體"/>
          <w:kern w:val="0"/>
          <w:sz w:val="28"/>
          <w:szCs w:val="20"/>
        </w:rPr>
        <w:t>月批發業及餐飲業營業額分別較上年同期增加</w:t>
      </w:r>
      <w:r w:rsidRPr="00AE0D77">
        <w:rPr>
          <w:rFonts w:eastAsia="標楷體"/>
          <w:kern w:val="0"/>
          <w:sz w:val="28"/>
          <w:szCs w:val="20"/>
        </w:rPr>
        <w:t>4.8%</w:t>
      </w:r>
      <w:r w:rsidRPr="00AE0D77">
        <w:rPr>
          <w:rFonts w:eastAsia="標楷體"/>
          <w:kern w:val="0"/>
          <w:sz w:val="28"/>
          <w:szCs w:val="20"/>
        </w:rPr>
        <w:t>及</w:t>
      </w:r>
      <w:r w:rsidRPr="00AE0D77">
        <w:rPr>
          <w:rFonts w:eastAsia="標楷體"/>
          <w:kern w:val="0"/>
          <w:sz w:val="28"/>
          <w:szCs w:val="20"/>
        </w:rPr>
        <w:t>3.3%</w:t>
      </w:r>
      <w:r w:rsidRPr="00AE0D77">
        <w:rPr>
          <w:rFonts w:eastAsia="標楷體"/>
          <w:kern w:val="0"/>
          <w:sz w:val="28"/>
          <w:szCs w:val="20"/>
        </w:rPr>
        <w:t>，零售業則減少</w:t>
      </w:r>
      <w:r w:rsidRPr="00AE0D77">
        <w:rPr>
          <w:rFonts w:eastAsia="標楷體"/>
          <w:kern w:val="0"/>
          <w:sz w:val="28"/>
          <w:szCs w:val="20"/>
        </w:rPr>
        <w:t>0.1%</w:t>
      </w:r>
      <w:r w:rsidRPr="00AE0D77">
        <w:rPr>
          <w:rFonts w:eastAsia="標楷體"/>
          <w:kern w:val="0"/>
          <w:sz w:val="28"/>
          <w:szCs w:val="20"/>
        </w:rPr>
        <w:t>。</w:t>
      </w:r>
    </w:p>
    <w:p w:rsidR="00F67965" w:rsidRPr="00AE0D77" w:rsidRDefault="00F67965" w:rsidP="00F67965">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00803ACB" w:rsidRPr="00AE0D77">
        <w:rPr>
          <w:rFonts w:eastAsia="標楷體"/>
          <w:b/>
          <w:bCs/>
          <w:sz w:val="28"/>
        </w:rPr>
        <w:t>批發、零售及餐飲業</w:t>
      </w:r>
      <w:r w:rsidRPr="00AE0D77">
        <w:rPr>
          <w:rFonts w:eastAsia="標楷體"/>
          <w:b/>
          <w:bCs/>
          <w:sz w:val="28"/>
        </w:rPr>
        <w:t>營業額</w:t>
      </w:r>
    </w:p>
    <w:p w:rsidR="00F67965" w:rsidRPr="00AE0D77" w:rsidRDefault="00F67965" w:rsidP="00F67965">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31355" w:rsidRPr="00AE0D77" w:rsidTr="00031355">
        <w:trPr>
          <w:cantSplit/>
          <w:trHeight w:val="20"/>
        </w:trPr>
        <w:tc>
          <w:tcPr>
            <w:tcW w:w="1640" w:type="dxa"/>
            <w:vMerge w:val="restart"/>
            <w:tcBorders>
              <w:top w:val="single" w:sz="4" w:space="0" w:color="auto"/>
              <w:left w:val="nil"/>
              <w:bottom w:val="single" w:sz="4" w:space="0" w:color="auto"/>
              <w:right w:val="nil"/>
            </w:tcBorders>
            <w:vAlign w:val="center"/>
            <w:hideMark/>
          </w:tcPr>
          <w:p w:rsidR="00031355" w:rsidRPr="00AE0D77" w:rsidRDefault="00031355">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4" w:type="dxa"/>
            <w:gridSpan w:val="2"/>
            <w:tcBorders>
              <w:top w:val="single" w:sz="4" w:space="0" w:color="auto"/>
              <w:left w:val="single" w:sz="4" w:space="0" w:color="auto"/>
              <w:bottom w:val="nil"/>
              <w:right w:val="nil"/>
            </w:tcBorders>
            <w:hideMark/>
          </w:tcPr>
          <w:p w:rsidR="00031355" w:rsidRPr="00AE0D77" w:rsidRDefault="00031355">
            <w:pPr>
              <w:adjustRightInd w:val="0"/>
              <w:snapToGrid w:val="0"/>
              <w:ind w:left="30"/>
              <w:jc w:val="center"/>
              <w:rPr>
                <w:rFonts w:eastAsia="標楷體"/>
              </w:rPr>
            </w:pPr>
            <w:r w:rsidRPr="00AE0D77">
              <w:rPr>
                <w:rFonts w:eastAsia="標楷體"/>
              </w:rPr>
              <w:t>批發業</w:t>
            </w:r>
          </w:p>
        </w:tc>
        <w:tc>
          <w:tcPr>
            <w:tcW w:w="2552" w:type="dxa"/>
            <w:gridSpan w:val="2"/>
            <w:tcBorders>
              <w:top w:val="single" w:sz="4" w:space="0" w:color="auto"/>
              <w:left w:val="single" w:sz="4" w:space="0" w:color="auto"/>
              <w:bottom w:val="nil"/>
              <w:right w:val="nil"/>
            </w:tcBorders>
            <w:hideMark/>
          </w:tcPr>
          <w:p w:rsidR="00031355" w:rsidRPr="00AE0D77" w:rsidRDefault="00031355">
            <w:pPr>
              <w:adjustRightInd w:val="0"/>
              <w:snapToGrid w:val="0"/>
              <w:ind w:left="30"/>
              <w:jc w:val="center"/>
              <w:rPr>
                <w:rFonts w:eastAsia="標楷體"/>
              </w:rPr>
            </w:pPr>
            <w:r w:rsidRPr="00AE0D77">
              <w:rPr>
                <w:rFonts w:eastAsia="標楷體"/>
              </w:rPr>
              <w:t>零售業</w:t>
            </w:r>
          </w:p>
        </w:tc>
        <w:tc>
          <w:tcPr>
            <w:tcW w:w="2409" w:type="dxa"/>
            <w:gridSpan w:val="2"/>
            <w:tcBorders>
              <w:top w:val="single" w:sz="4" w:space="0" w:color="auto"/>
              <w:left w:val="single" w:sz="4" w:space="0" w:color="auto"/>
              <w:bottom w:val="single" w:sz="4" w:space="0" w:color="auto"/>
              <w:right w:val="nil"/>
            </w:tcBorders>
            <w:hideMark/>
          </w:tcPr>
          <w:p w:rsidR="00031355" w:rsidRPr="00AE0D77" w:rsidRDefault="00031355">
            <w:pPr>
              <w:adjustRightInd w:val="0"/>
              <w:snapToGrid w:val="0"/>
              <w:ind w:left="30"/>
              <w:jc w:val="center"/>
              <w:rPr>
                <w:rFonts w:eastAsia="標楷體"/>
              </w:rPr>
            </w:pPr>
            <w:r w:rsidRPr="00AE0D77">
              <w:rPr>
                <w:rFonts w:eastAsia="標楷體"/>
              </w:rPr>
              <w:t>餐飲業</w:t>
            </w:r>
          </w:p>
        </w:tc>
      </w:tr>
      <w:tr w:rsidR="00031355" w:rsidRPr="00AE0D77" w:rsidTr="00031355">
        <w:trPr>
          <w:cantSplit/>
          <w:trHeight w:val="20"/>
        </w:trPr>
        <w:tc>
          <w:tcPr>
            <w:tcW w:w="1640" w:type="dxa"/>
            <w:vMerge/>
            <w:tcBorders>
              <w:top w:val="single" w:sz="4" w:space="0" w:color="auto"/>
              <w:left w:val="nil"/>
              <w:bottom w:val="single" w:sz="4" w:space="0" w:color="auto"/>
              <w:right w:val="nil"/>
            </w:tcBorders>
            <w:vAlign w:val="center"/>
            <w:hideMark/>
          </w:tcPr>
          <w:p w:rsidR="00031355" w:rsidRPr="00AE0D77" w:rsidRDefault="00031355">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adjustRightInd w:val="0"/>
              <w:snapToGrid w:val="0"/>
              <w:ind w:left="30"/>
              <w:jc w:val="center"/>
              <w:rPr>
                <w:rFonts w:eastAsia="標楷體"/>
                <w:spacing w:val="-20"/>
              </w:rPr>
            </w:pPr>
            <w:r w:rsidRPr="00AE0D77">
              <w:rPr>
                <w:rFonts w:eastAsia="標楷體"/>
                <w:spacing w:val="-20"/>
              </w:rPr>
              <w:t>金額</w:t>
            </w:r>
          </w:p>
          <w:p w:rsidR="00031355" w:rsidRPr="00AE0D77" w:rsidRDefault="00031355">
            <w:pPr>
              <w:adjustRightInd w:val="0"/>
              <w:snapToGrid w:val="0"/>
              <w:ind w:left="30"/>
              <w:jc w:val="center"/>
              <w:rPr>
                <w:rFonts w:eastAsia="標楷體"/>
                <w:spacing w:val="-20"/>
              </w:rPr>
            </w:pPr>
            <w:r w:rsidRPr="00AE0D77">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adjustRightInd w:val="0"/>
              <w:snapToGrid w:val="0"/>
              <w:ind w:left="30"/>
              <w:jc w:val="center"/>
              <w:rPr>
                <w:rFonts w:eastAsia="標楷體"/>
                <w:spacing w:val="-20"/>
              </w:rPr>
            </w:pPr>
            <w:r w:rsidRPr="00AE0D77">
              <w:rPr>
                <w:rFonts w:eastAsia="標楷體"/>
                <w:spacing w:val="-20"/>
              </w:rPr>
              <w:t>金額</w:t>
            </w:r>
          </w:p>
          <w:p w:rsidR="00031355" w:rsidRPr="00AE0D77" w:rsidRDefault="00031355">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hideMark/>
          </w:tcPr>
          <w:p w:rsidR="00031355" w:rsidRPr="00AE0D77" w:rsidRDefault="00031355">
            <w:pPr>
              <w:adjustRightInd w:val="0"/>
              <w:snapToGrid w:val="0"/>
              <w:ind w:left="30"/>
              <w:jc w:val="center"/>
              <w:rPr>
                <w:rFonts w:eastAsia="標楷體"/>
                <w:spacing w:val="-20"/>
              </w:rPr>
            </w:pPr>
            <w:r w:rsidRPr="00AE0D77">
              <w:rPr>
                <w:rFonts w:eastAsia="標楷體"/>
                <w:spacing w:val="-20"/>
              </w:rPr>
              <w:t>金額</w:t>
            </w:r>
          </w:p>
          <w:p w:rsidR="00031355" w:rsidRPr="00AE0D77" w:rsidRDefault="00031355">
            <w:pPr>
              <w:adjustRightInd w:val="0"/>
              <w:snapToGrid w:val="0"/>
              <w:ind w:left="30"/>
              <w:jc w:val="center"/>
              <w:rPr>
                <w:rFonts w:eastAsia="標楷體"/>
                <w:spacing w:val="-20"/>
              </w:rPr>
            </w:pPr>
            <w:r w:rsidRPr="00AE0D77">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hideMark/>
          </w:tcPr>
          <w:p w:rsidR="00031355" w:rsidRPr="00AE0D77" w:rsidRDefault="00031355">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031355" w:rsidRPr="00AE0D77" w:rsidTr="00031355">
        <w:trPr>
          <w:trHeight w:val="20"/>
        </w:trPr>
        <w:tc>
          <w:tcPr>
            <w:tcW w:w="1640" w:type="dxa"/>
            <w:tcBorders>
              <w:top w:val="nil"/>
              <w:left w:val="nil"/>
              <w:bottom w:val="nil"/>
              <w:right w:val="double" w:sz="4" w:space="0" w:color="auto"/>
            </w:tcBorders>
            <w:vAlign w:val="center"/>
            <w:hideMark/>
          </w:tcPr>
          <w:p w:rsidR="00031355" w:rsidRPr="00AE0D77" w:rsidRDefault="00031355">
            <w:pPr>
              <w:snapToGrid w:val="0"/>
              <w:spacing w:line="300" w:lineRule="exact"/>
              <w:jc w:val="both"/>
              <w:rPr>
                <w:rFonts w:eastAsia="標楷體"/>
              </w:rPr>
            </w:pPr>
            <w:r w:rsidRPr="00AE0D77">
              <w:rPr>
                <w:rFonts w:eastAsia="標楷體"/>
                <w:b/>
                <w:bCs/>
              </w:rPr>
              <w:t xml:space="preserve"> 101</w:t>
            </w:r>
            <w:r w:rsidRPr="00AE0D77">
              <w:rPr>
                <w:rFonts w:eastAsia="標楷體"/>
                <w:b/>
                <w:bCs/>
              </w:rPr>
              <w:t>年</w:t>
            </w:r>
          </w:p>
        </w:tc>
        <w:tc>
          <w:tcPr>
            <w:tcW w:w="1310"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98,330</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-1.6</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37,832</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2.4</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3,945</w:t>
            </w:r>
          </w:p>
        </w:tc>
        <w:tc>
          <w:tcPr>
            <w:tcW w:w="1275"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3.6</w:t>
            </w:r>
          </w:p>
        </w:tc>
      </w:tr>
      <w:tr w:rsidR="00031355" w:rsidRPr="00AE0D77" w:rsidTr="00031355">
        <w:trPr>
          <w:trHeight w:val="20"/>
        </w:trPr>
        <w:tc>
          <w:tcPr>
            <w:tcW w:w="1640" w:type="dxa"/>
            <w:tcBorders>
              <w:top w:val="nil"/>
              <w:left w:val="nil"/>
              <w:bottom w:val="nil"/>
              <w:right w:val="double" w:sz="4" w:space="0" w:color="auto"/>
            </w:tcBorders>
            <w:vAlign w:val="center"/>
            <w:hideMark/>
          </w:tcPr>
          <w:p w:rsidR="00031355" w:rsidRPr="00AE0D77" w:rsidRDefault="00031355">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99,042</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0.7</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38,574</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2.0</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4,007</w:t>
            </w:r>
          </w:p>
        </w:tc>
        <w:tc>
          <w:tcPr>
            <w:tcW w:w="1275"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1.6</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101,173</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2.2</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40,074</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3.9</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4,129</w:t>
            </w:r>
          </w:p>
        </w:tc>
        <w:tc>
          <w:tcPr>
            <w:tcW w:w="1275"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3.1</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97,258</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-3.9</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40,203</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0.3</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4,241</w:t>
            </w:r>
          </w:p>
        </w:tc>
        <w:tc>
          <w:tcPr>
            <w:tcW w:w="1275"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2.7</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95,451</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 xml:space="preserve">-1.9 </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40,968</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 xml:space="preserve">1.9 </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4,394</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bCs/>
              </w:rPr>
            </w:pPr>
            <w:r w:rsidRPr="00AE0D77">
              <w:rPr>
                <w:rFonts w:eastAsia="標楷體"/>
                <w:b/>
                <w:bCs/>
              </w:rPr>
              <w:t>3.6</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5</w:t>
            </w:r>
            <w:r w:rsidRPr="00AE0D77">
              <w:rPr>
                <w:rFonts w:eastAsia="標楷體"/>
              </w:rPr>
              <w:t>月</w:t>
            </w:r>
          </w:p>
        </w:tc>
        <w:tc>
          <w:tcPr>
            <w:tcW w:w="1310"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7,777</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-2.6</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3,351</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 xml:space="preserve">0.9 </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374</w:t>
            </w:r>
          </w:p>
        </w:tc>
        <w:tc>
          <w:tcPr>
            <w:tcW w:w="1275"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2.1</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6</w:t>
            </w:r>
            <w:r w:rsidRPr="00AE0D77">
              <w:rPr>
                <w:rFonts w:eastAsia="標楷體"/>
              </w:rPr>
              <w:t>月</w:t>
            </w:r>
          </w:p>
        </w:tc>
        <w:tc>
          <w:tcPr>
            <w:tcW w:w="1310"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8,058</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-2.5</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3,358</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 xml:space="preserve">0.5 </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363</w:t>
            </w:r>
          </w:p>
        </w:tc>
        <w:tc>
          <w:tcPr>
            <w:tcW w:w="1275"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2.2</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7</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8,043</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-1.5</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3,445</w:t>
            </w:r>
          </w:p>
        </w:tc>
        <w:tc>
          <w:tcPr>
            <w:tcW w:w="1276"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 xml:space="preserve">2.8 </w:t>
            </w:r>
          </w:p>
        </w:tc>
        <w:tc>
          <w:tcPr>
            <w:tcW w:w="1134"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377</w:t>
            </w:r>
          </w:p>
        </w:tc>
        <w:tc>
          <w:tcPr>
            <w:tcW w:w="1275" w:type="dxa"/>
            <w:tcBorders>
              <w:top w:val="nil"/>
              <w:left w:val="nil"/>
              <w:bottom w:val="nil"/>
              <w:right w:val="nil"/>
            </w:tcBorders>
            <w:vAlign w:val="center"/>
            <w:hideMark/>
          </w:tcPr>
          <w:p w:rsidR="00031355" w:rsidRPr="00AE0D77" w:rsidRDefault="00031355">
            <w:pPr>
              <w:adjustRightInd w:val="0"/>
              <w:snapToGrid w:val="0"/>
              <w:ind w:left="28" w:rightChars="75" w:right="180"/>
              <w:jc w:val="right"/>
              <w:rPr>
                <w:rFonts w:eastAsia="標楷體"/>
              </w:rPr>
            </w:pPr>
            <w:r w:rsidRPr="00AE0D77">
              <w:rPr>
                <w:rFonts w:eastAsia="標楷體"/>
              </w:rPr>
              <w:t>3.8</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8</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8,328</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3.4</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3,284</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0.0</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375</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0.6</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9</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8,270</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-0.8</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3,304</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3.0</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352</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6.0</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10</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8,274</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0.4</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3,567</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0.4</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373</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6.9</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11</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8,438</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6.1</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3,578</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2.5</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345</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2.9</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12</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8,567</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2.5</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3,668</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2.1</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382</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6.4</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rPr>
                <w:rFonts w:eastAsia="標楷體"/>
              </w:rPr>
            </w:pPr>
            <w:r w:rsidRPr="00AE0D77">
              <w:rPr>
                <w:rFonts w:eastAsia="標楷體"/>
                <w:b/>
                <w:bCs/>
              </w:rPr>
              <w:t>106</w:t>
            </w:r>
            <w:r w:rsidRPr="00AE0D77">
              <w:rPr>
                <w:rFonts w:eastAsia="標楷體"/>
                <w:b/>
                <w:bCs/>
              </w:rPr>
              <w:t>年</w:t>
            </w:r>
            <w:r w:rsidRPr="00AE0D77">
              <w:rPr>
                <w:rFonts w:eastAsia="標楷體"/>
                <w:b/>
                <w:bCs/>
              </w:rPr>
              <w:t>1~5</w:t>
            </w:r>
            <w:r w:rsidRPr="00AE0D77">
              <w:rPr>
                <w:rFonts w:eastAsia="標楷體"/>
                <w:b/>
                <w:bCs/>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rPr>
            </w:pPr>
            <w:r w:rsidRPr="00AE0D77">
              <w:rPr>
                <w:rFonts w:eastAsia="標楷體"/>
                <w:b/>
              </w:rPr>
              <w:t>39,274</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rPr>
            </w:pPr>
            <w:r w:rsidRPr="00AE0D77">
              <w:rPr>
                <w:rFonts w:eastAsia="標楷體"/>
                <w:b/>
              </w:rPr>
              <w:t>4.8</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rPr>
            </w:pPr>
            <w:r w:rsidRPr="00AE0D77">
              <w:rPr>
                <w:rFonts w:eastAsia="標楷體"/>
                <w:b/>
              </w:rPr>
              <w:t>16,745</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rPr>
            </w:pPr>
            <w:r w:rsidRPr="00AE0D77">
              <w:rPr>
                <w:rFonts w:eastAsia="標楷體"/>
                <w:b/>
              </w:rPr>
              <w:t>-0.1</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rPr>
            </w:pPr>
            <w:r w:rsidRPr="00AE0D77">
              <w:rPr>
                <w:rFonts w:eastAsia="標楷體"/>
                <w:b/>
              </w:rPr>
              <w:t>1,887</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b/>
              </w:rPr>
            </w:pPr>
            <w:r w:rsidRPr="00AE0D77">
              <w:rPr>
                <w:rFonts w:eastAsia="標楷體"/>
                <w:b/>
              </w:rPr>
              <w:t>3.3</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1</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8,027</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-0.3</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3,790</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4.3</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431</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14.8</w:t>
            </w:r>
          </w:p>
        </w:tc>
      </w:tr>
      <w:tr w:rsidR="00031355" w:rsidRPr="00AE0D77" w:rsidTr="00031355">
        <w:trPr>
          <w:trHeight w:val="360"/>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2</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6,985</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14.3</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3,026</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-8.4</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365</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-8.4</w:t>
            </w:r>
          </w:p>
        </w:tc>
      </w:tr>
      <w:tr w:rsidR="00031355" w:rsidRPr="00AE0D77" w:rsidTr="00031355">
        <w:trPr>
          <w:trHeight w:val="225"/>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3</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8,332</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6.1</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3,252</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1.7</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351</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3.9</w:t>
            </w:r>
          </w:p>
        </w:tc>
      </w:tr>
      <w:tr w:rsidR="00031355" w:rsidRPr="00AE0D77" w:rsidTr="00031355">
        <w:trPr>
          <w:trHeight w:val="225"/>
        </w:trPr>
        <w:tc>
          <w:tcPr>
            <w:tcW w:w="1640" w:type="dxa"/>
            <w:tcBorders>
              <w:top w:val="nil"/>
              <w:left w:val="nil"/>
              <w:bottom w:val="nil"/>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4</w:t>
            </w:r>
            <w:r w:rsidRPr="00AE0D77">
              <w:rPr>
                <w:rFonts w:eastAsia="標楷體"/>
              </w:rPr>
              <w:t>月</w:t>
            </w:r>
          </w:p>
        </w:tc>
        <w:tc>
          <w:tcPr>
            <w:tcW w:w="1310"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7,857</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2.4</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3,292</w:t>
            </w:r>
          </w:p>
        </w:tc>
        <w:tc>
          <w:tcPr>
            <w:tcW w:w="1276"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0.4</w:t>
            </w:r>
          </w:p>
        </w:tc>
        <w:tc>
          <w:tcPr>
            <w:tcW w:w="1134"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359</w:t>
            </w:r>
          </w:p>
        </w:tc>
        <w:tc>
          <w:tcPr>
            <w:tcW w:w="1275" w:type="dxa"/>
            <w:tcBorders>
              <w:top w:val="nil"/>
              <w:left w:val="nil"/>
              <w:bottom w:val="nil"/>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5.5</w:t>
            </w:r>
          </w:p>
        </w:tc>
      </w:tr>
      <w:tr w:rsidR="00031355" w:rsidRPr="00AE0D77" w:rsidTr="00031355">
        <w:trPr>
          <w:trHeight w:val="225"/>
        </w:trPr>
        <w:tc>
          <w:tcPr>
            <w:tcW w:w="1640" w:type="dxa"/>
            <w:tcBorders>
              <w:top w:val="nil"/>
              <w:left w:val="nil"/>
              <w:bottom w:val="single" w:sz="4" w:space="0" w:color="auto"/>
              <w:right w:val="double" w:sz="4" w:space="0" w:color="auto"/>
            </w:tcBorders>
            <w:vAlign w:val="center"/>
            <w:hideMark/>
          </w:tcPr>
          <w:p w:rsidR="00031355" w:rsidRPr="00AE0D77" w:rsidRDefault="00031355">
            <w:pPr>
              <w:adjustRightInd w:val="0"/>
              <w:snapToGrid w:val="0"/>
              <w:ind w:left="284" w:firstLineChars="50" w:firstLine="120"/>
              <w:jc w:val="center"/>
              <w:rPr>
                <w:rFonts w:eastAsia="標楷體"/>
              </w:rPr>
            </w:pPr>
            <w:r w:rsidRPr="00AE0D77">
              <w:rPr>
                <w:rFonts w:eastAsia="標楷體"/>
              </w:rPr>
              <w:t>5</w:t>
            </w:r>
            <w:r w:rsidRPr="00AE0D77">
              <w:rPr>
                <w:rFonts w:eastAsia="標楷體"/>
              </w:rPr>
              <w:t>月</w:t>
            </w:r>
          </w:p>
        </w:tc>
        <w:tc>
          <w:tcPr>
            <w:tcW w:w="1310" w:type="dxa"/>
            <w:tcBorders>
              <w:top w:val="nil"/>
              <w:left w:val="nil"/>
              <w:bottom w:val="single" w:sz="4" w:space="0" w:color="auto"/>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8,052</w:t>
            </w:r>
          </w:p>
        </w:tc>
        <w:tc>
          <w:tcPr>
            <w:tcW w:w="1134" w:type="dxa"/>
            <w:tcBorders>
              <w:top w:val="nil"/>
              <w:left w:val="nil"/>
              <w:bottom w:val="single" w:sz="4" w:space="0" w:color="auto"/>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3.5</w:t>
            </w:r>
          </w:p>
        </w:tc>
        <w:tc>
          <w:tcPr>
            <w:tcW w:w="1276" w:type="dxa"/>
            <w:tcBorders>
              <w:top w:val="nil"/>
              <w:left w:val="nil"/>
              <w:bottom w:val="single" w:sz="4" w:space="0" w:color="auto"/>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3,385</w:t>
            </w:r>
          </w:p>
        </w:tc>
        <w:tc>
          <w:tcPr>
            <w:tcW w:w="1276" w:type="dxa"/>
            <w:tcBorders>
              <w:top w:val="nil"/>
              <w:left w:val="nil"/>
              <w:bottom w:val="single" w:sz="4" w:space="0" w:color="auto"/>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1.0</w:t>
            </w:r>
          </w:p>
        </w:tc>
        <w:tc>
          <w:tcPr>
            <w:tcW w:w="1134" w:type="dxa"/>
            <w:tcBorders>
              <w:top w:val="nil"/>
              <w:left w:val="nil"/>
              <w:bottom w:val="single" w:sz="4" w:space="0" w:color="auto"/>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385</w:t>
            </w:r>
          </w:p>
        </w:tc>
        <w:tc>
          <w:tcPr>
            <w:tcW w:w="1275" w:type="dxa"/>
            <w:tcBorders>
              <w:top w:val="nil"/>
              <w:left w:val="nil"/>
              <w:bottom w:val="single" w:sz="4" w:space="0" w:color="auto"/>
              <w:right w:val="nil"/>
            </w:tcBorders>
            <w:vAlign w:val="bottom"/>
            <w:hideMark/>
          </w:tcPr>
          <w:p w:rsidR="00031355" w:rsidRPr="00AE0D77" w:rsidRDefault="00031355">
            <w:pPr>
              <w:adjustRightInd w:val="0"/>
              <w:snapToGrid w:val="0"/>
              <w:ind w:left="28" w:rightChars="75" w:right="180"/>
              <w:jc w:val="right"/>
              <w:rPr>
                <w:rFonts w:eastAsia="標楷體"/>
              </w:rPr>
            </w:pPr>
            <w:r w:rsidRPr="00AE0D77">
              <w:rPr>
                <w:rFonts w:eastAsia="標楷體"/>
              </w:rPr>
              <w:t>2.7</w:t>
            </w:r>
          </w:p>
        </w:tc>
      </w:tr>
    </w:tbl>
    <w:p w:rsidR="006854B4" w:rsidRPr="00AE0D77" w:rsidRDefault="006854B4" w:rsidP="00A76365">
      <w:pPr>
        <w:widowControl/>
        <w:tabs>
          <w:tab w:val="left" w:pos="426"/>
        </w:tabs>
        <w:snapToGrid w:val="0"/>
        <w:ind w:leftChars="176" w:left="990" w:hangingChars="258" w:hanging="568"/>
        <w:jc w:val="both"/>
        <w:rPr>
          <w:rFonts w:eastAsia="標楷體"/>
          <w:kern w:val="0"/>
          <w:sz w:val="22"/>
          <w:szCs w:val="22"/>
        </w:rPr>
      </w:pPr>
      <w:r w:rsidRPr="00AE0D77">
        <w:rPr>
          <w:rFonts w:eastAsia="標楷體"/>
          <w:kern w:val="0"/>
          <w:sz w:val="22"/>
          <w:szCs w:val="22"/>
        </w:rPr>
        <w:t>註：</w:t>
      </w:r>
      <w:r w:rsidR="00A76365" w:rsidRPr="00AE0D77">
        <w:rPr>
          <w:rFonts w:eastAsia="標楷體"/>
          <w:kern w:val="0"/>
          <w:sz w:val="22"/>
          <w:szCs w:val="22"/>
        </w:rPr>
        <w:t>1.</w:t>
      </w:r>
      <w:r w:rsidR="00A76365" w:rsidRPr="00AE0D77">
        <w:rPr>
          <w:rFonts w:eastAsia="標楷體"/>
          <w:kern w:val="0"/>
          <w:sz w:val="22"/>
          <w:szCs w:val="22"/>
        </w:rPr>
        <w:t>依據最新「中華民國行業標準分類」，已無「商業」之分類，</w:t>
      </w:r>
      <w:r w:rsidR="000A4B75" w:rsidRPr="00AE0D77">
        <w:rPr>
          <w:rFonts w:eastAsia="標楷體"/>
          <w:kern w:val="0"/>
          <w:sz w:val="22"/>
          <w:szCs w:val="22"/>
        </w:rPr>
        <w:t>104</w:t>
      </w:r>
      <w:r w:rsidR="000A4B75" w:rsidRPr="00AE0D77">
        <w:rPr>
          <w:rFonts w:eastAsia="標楷體"/>
          <w:kern w:val="0"/>
          <w:sz w:val="22"/>
          <w:szCs w:val="22"/>
        </w:rPr>
        <w:t>年</w:t>
      </w:r>
      <w:r w:rsidR="000A4B75" w:rsidRPr="00AE0D77">
        <w:rPr>
          <w:rFonts w:eastAsia="標楷體"/>
          <w:kern w:val="0"/>
          <w:sz w:val="22"/>
          <w:szCs w:val="22"/>
        </w:rPr>
        <w:t>10</w:t>
      </w:r>
      <w:r w:rsidR="000A4B75" w:rsidRPr="00AE0D77">
        <w:rPr>
          <w:rFonts w:eastAsia="標楷體"/>
          <w:kern w:val="0"/>
          <w:sz w:val="22"/>
          <w:szCs w:val="22"/>
        </w:rPr>
        <w:t>月起</w:t>
      </w:r>
      <w:r w:rsidR="00A76365" w:rsidRPr="00AE0D77">
        <w:rPr>
          <w:rFonts w:eastAsia="標楷體"/>
          <w:kern w:val="0"/>
          <w:sz w:val="22"/>
          <w:szCs w:val="22"/>
        </w:rPr>
        <w:t>特將原「商業營業額統計」更名為「批發、零售及餐飲業營業額統計」，仍維持原各業別之統計分析。</w:t>
      </w:r>
    </w:p>
    <w:p w:rsidR="00A76365" w:rsidRPr="00AE0D77" w:rsidRDefault="00A76365" w:rsidP="00A76365">
      <w:pPr>
        <w:widowControl/>
        <w:tabs>
          <w:tab w:val="left" w:pos="426"/>
        </w:tabs>
        <w:snapToGrid w:val="0"/>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F67965" w:rsidRPr="00AE0D77" w:rsidRDefault="00F67965" w:rsidP="00F67965">
      <w:pPr>
        <w:tabs>
          <w:tab w:val="left" w:pos="540"/>
          <w:tab w:val="left" w:pos="900"/>
        </w:tabs>
        <w:snapToGrid w:val="0"/>
        <w:spacing w:line="320" w:lineRule="exact"/>
        <w:jc w:val="both"/>
        <w:rPr>
          <w:rFonts w:eastAsia="標楷體"/>
          <w:sz w:val="22"/>
          <w:szCs w:val="22"/>
        </w:rPr>
      </w:pPr>
      <w:r w:rsidRPr="00AE0D77">
        <w:rPr>
          <w:rFonts w:eastAsia="標楷體"/>
          <w:sz w:val="22"/>
          <w:szCs w:val="22"/>
        </w:rPr>
        <w:t>資料來源：經濟部統計處。</w:t>
      </w:r>
    </w:p>
    <w:p w:rsidR="00F67965" w:rsidRPr="00AE0D77" w:rsidRDefault="00F67965" w:rsidP="00F67965">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Pr="00AE0D77">
        <w:rPr>
          <w:rFonts w:eastAsia="標楷體"/>
          <w:b/>
          <w:bCs/>
          <w:kern w:val="0"/>
          <w:sz w:val="28"/>
          <w:szCs w:val="20"/>
        </w:rPr>
        <w:t>２、</w:t>
      </w:r>
      <w:r w:rsidR="00031355" w:rsidRPr="00AE0D77">
        <w:rPr>
          <w:rFonts w:eastAsia="標楷體"/>
          <w:b/>
          <w:bCs/>
          <w:kern w:val="0"/>
          <w:sz w:val="28"/>
          <w:szCs w:val="20"/>
        </w:rPr>
        <w:t>106</w:t>
      </w:r>
      <w:r w:rsidR="00031355" w:rsidRPr="00AE0D77">
        <w:rPr>
          <w:rFonts w:eastAsia="標楷體"/>
          <w:b/>
          <w:bCs/>
          <w:kern w:val="0"/>
          <w:sz w:val="28"/>
          <w:szCs w:val="20"/>
        </w:rPr>
        <w:t>年</w:t>
      </w:r>
      <w:r w:rsidR="00031355" w:rsidRPr="00AE0D77">
        <w:rPr>
          <w:rFonts w:eastAsia="標楷體"/>
          <w:b/>
          <w:bCs/>
          <w:kern w:val="0"/>
          <w:sz w:val="28"/>
          <w:szCs w:val="20"/>
        </w:rPr>
        <w:t>5</w:t>
      </w:r>
      <w:r w:rsidR="00031355" w:rsidRPr="00AE0D77">
        <w:rPr>
          <w:rFonts w:eastAsia="標楷體"/>
          <w:b/>
          <w:bCs/>
          <w:kern w:val="0"/>
          <w:sz w:val="28"/>
          <w:szCs w:val="20"/>
        </w:rPr>
        <w:t>月批發業營業額增加</w:t>
      </w:r>
      <w:r w:rsidR="00031355" w:rsidRPr="00AE0D77">
        <w:rPr>
          <w:rFonts w:eastAsia="標楷體"/>
          <w:b/>
          <w:bCs/>
          <w:kern w:val="0"/>
          <w:sz w:val="28"/>
          <w:szCs w:val="20"/>
        </w:rPr>
        <w:t>3.5%</w:t>
      </w:r>
    </w:p>
    <w:p w:rsidR="00F67965" w:rsidRPr="00AE0D77" w:rsidRDefault="00031355" w:rsidP="00F62073">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月批發業營業額</w:t>
      </w:r>
      <w:r w:rsidRPr="00AE0D77">
        <w:rPr>
          <w:rFonts w:eastAsia="標楷體"/>
          <w:kern w:val="0"/>
          <w:sz w:val="28"/>
          <w:szCs w:val="20"/>
        </w:rPr>
        <w:t>8,052</w:t>
      </w:r>
      <w:r w:rsidRPr="00AE0D77">
        <w:rPr>
          <w:rFonts w:eastAsia="標楷體"/>
          <w:kern w:val="0"/>
          <w:sz w:val="28"/>
          <w:szCs w:val="20"/>
        </w:rPr>
        <w:t>億元，較上年同月</w:t>
      </w:r>
      <w:r w:rsidRPr="00AE0D77">
        <w:rPr>
          <w:rFonts w:eastAsia="標楷體"/>
          <w:bCs/>
          <w:kern w:val="0"/>
          <w:sz w:val="28"/>
          <w:szCs w:val="20"/>
        </w:rPr>
        <w:t>增加</w:t>
      </w:r>
      <w:r w:rsidRPr="00AE0D77">
        <w:rPr>
          <w:rFonts w:eastAsia="標楷體"/>
          <w:bCs/>
          <w:kern w:val="0"/>
          <w:sz w:val="28"/>
          <w:szCs w:val="20"/>
        </w:rPr>
        <w:t>3.5</w:t>
      </w:r>
      <w:r w:rsidRPr="00AE0D77">
        <w:rPr>
          <w:rFonts w:eastAsia="標楷體"/>
          <w:kern w:val="0"/>
          <w:sz w:val="28"/>
          <w:szCs w:val="20"/>
        </w:rPr>
        <w:t>%</w:t>
      </w:r>
      <w:r w:rsidRPr="00AE0D77">
        <w:rPr>
          <w:rFonts w:eastAsia="標楷體"/>
          <w:kern w:val="0"/>
          <w:sz w:val="28"/>
          <w:szCs w:val="20"/>
        </w:rPr>
        <w:t>，其中機械器具批發業年增</w:t>
      </w:r>
      <w:r w:rsidRPr="00AE0D77">
        <w:rPr>
          <w:rFonts w:eastAsia="標楷體"/>
          <w:kern w:val="0"/>
          <w:sz w:val="28"/>
          <w:szCs w:val="20"/>
        </w:rPr>
        <w:t>7.7%</w:t>
      </w:r>
      <w:r w:rsidRPr="00AE0D77">
        <w:rPr>
          <w:rFonts w:eastAsia="標楷體"/>
          <w:kern w:val="0"/>
          <w:sz w:val="28"/>
          <w:szCs w:val="20"/>
        </w:rPr>
        <w:t>，主因面板、記憶體及伺服器等外銷需求強勁；建材批發業年增</w:t>
      </w:r>
      <w:r w:rsidRPr="00AE0D77">
        <w:rPr>
          <w:rFonts w:eastAsia="標楷體"/>
          <w:kern w:val="0"/>
          <w:sz w:val="28"/>
          <w:szCs w:val="20"/>
        </w:rPr>
        <w:t>6.9%</w:t>
      </w:r>
      <w:r w:rsidRPr="00AE0D77">
        <w:rPr>
          <w:rFonts w:eastAsia="標楷體"/>
          <w:kern w:val="0"/>
          <w:sz w:val="28"/>
          <w:szCs w:val="20"/>
        </w:rPr>
        <w:t>，主因鋼品外銷市場活絡，加以價格較上年同月上漲所致；食品、飲料及菸草批發業年增</w:t>
      </w:r>
      <w:r w:rsidRPr="00AE0D77">
        <w:rPr>
          <w:rFonts w:eastAsia="標楷體"/>
          <w:kern w:val="0"/>
          <w:sz w:val="28"/>
          <w:szCs w:val="20"/>
        </w:rPr>
        <w:t>4.3%</w:t>
      </w:r>
      <w:r w:rsidRPr="00AE0D77">
        <w:rPr>
          <w:rFonts w:eastAsia="標楷體"/>
          <w:kern w:val="0"/>
          <w:sz w:val="28"/>
          <w:szCs w:val="20"/>
        </w:rPr>
        <w:t>，主因預期菸稅調漲，廠商提前進貨；家庭器具批發業則年減</w:t>
      </w:r>
      <w:r w:rsidRPr="00AE0D77">
        <w:rPr>
          <w:rFonts w:eastAsia="標楷體"/>
          <w:kern w:val="0"/>
          <w:sz w:val="28"/>
          <w:szCs w:val="20"/>
        </w:rPr>
        <w:t>4.9%</w:t>
      </w:r>
      <w:r w:rsidRPr="00AE0D77">
        <w:rPr>
          <w:rFonts w:eastAsia="標楷體"/>
          <w:kern w:val="0"/>
          <w:sz w:val="28"/>
          <w:szCs w:val="20"/>
        </w:rPr>
        <w:t>，主因部分冷氣空調業者相對往年提早備貨，及家電品牌終止代理業務所致。累計</w:t>
      </w:r>
      <w:r w:rsidRPr="00AE0D77">
        <w:rPr>
          <w:rFonts w:eastAsia="標楷體"/>
          <w:kern w:val="0"/>
          <w:sz w:val="28"/>
          <w:szCs w:val="20"/>
        </w:rPr>
        <w:t>1</w:t>
      </w:r>
      <w:r w:rsidRPr="00AE0D77">
        <w:rPr>
          <w:rFonts w:eastAsia="標楷體"/>
          <w:kern w:val="0"/>
          <w:sz w:val="28"/>
          <w:szCs w:val="20"/>
        </w:rPr>
        <w:t>至</w:t>
      </w:r>
      <w:r w:rsidRPr="00AE0D77">
        <w:rPr>
          <w:rFonts w:eastAsia="標楷體"/>
          <w:kern w:val="0"/>
          <w:sz w:val="28"/>
          <w:szCs w:val="20"/>
        </w:rPr>
        <w:t>5</w:t>
      </w:r>
      <w:r w:rsidRPr="00AE0D77">
        <w:rPr>
          <w:rFonts w:eastAsia="標楷體"/>
          <w:kern w:val="0"/>
          <w:sz w:val="28"/>
          <w:szCs w:val="20"/>
        </w:rPr>
        <w:t>月批發業營業額</w:t>
      </w:r>
      <w:r w:rsidRPr="00AE0D77">
        <w:rPr>
          <w:rFonts w:eastAsia="標楷體"/>
          <w:kern w:val="0"/>
          <w:sz w:val="28"/>
          <w:szCs w:val="20"/>
        </w:rPr>
        <w:t>39,274</w:t>
      </w:r>
      <w:r w:rsidRPr="00AE0D77">
        <w:rPr>
          <w:rFonts w:eastAsia="標楷體"/>
          <w:kern w:val="0"/>
          <w:sz w:val="28"/>
          <w:szCs w:val="20"/>
        </w:rPr>
        <w:t>億元，較上年同期增加</w:t>
      </w:r>
      <w:r w:rsidRPr="00AE0D77">
        <w:rPr>
          <w:rFonts w:eastAsia="標楷體"/>
          <w:kern w:val="0"/>
          <w:sz w:val="28"/>
          <w:szCs w:val="20"/>
        </w:rPr>
        <w:t>4.8%</w:t>
      </w:r>
      <w:r w:rsidRPr="00AE0D77">
        <w:rPr>
          <w:rFonts w:eastAsia="標楷體"/>
          <w:kern w:val="0"/>
          <w:sz w:val="28"/>
          <w:szCs w:val="20"/>
        </w:rPr>
        <w:t>。</w:t>
      </w:r>
    </w:p>
    <w:p w:rsidR="00F67965" w:rsidRPr="00AE0D77" w:rsidRDefault="00F67965" w:rsidP="00F67965">
      <w:pPr>
        <w:widowControl/>
        <w:topLinePunct/>
        <w:snapToGrid w:val="0"/>
        <w:spacing w:beforeLines="50" w:before="180" w:line="300" w:lineRule="auto"/>
        <w:ind w:rightChars="-59" w:right="-142" w:firstLineChars="202" w:firstLine="566"/>
        <w:jc w:val="both"/>
        <w:rPr>
          <w:rFonts w:eastAsia="標楷體"/>
          <w:kern w:val="0"/>
          <w:sz w:val="28"/>
          <w:szCs w:val="20"/>
        </w:rPr>
      </w:pPr>
    </w:p>
    <w:p w:rsidR="00521BCE" w:rsidRPr="00AE0D77" w:rsidRDefault="00F67965" w:rsidP="00F67965">
      <w:pPr>
        <w:snapToGrid w:val="0"/>
        <w:spacing w:afterLines="20" w:after="72"/>
        <w:ind w:right="-142"/>
        <w:jc w:val="center"/>
        <w:rPr>
          <w:rFonts w:eastAsia="標楷體"/>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031355" w:rsidRPr="00AE0D77" w:rsidTr="00031355">
        <w:tc>
          <w:tcPr>
            <w:tcW w:w="2722" w:type="dxa"/>
            <w:vMerge w:val="restart"/>
            <w:tcBorders>
              <w:top w:val="single" w:sz="4" w:space="0" w:color="auto"/>
              <w:left w:val="nil"/>
              <w:bottom w:val="single" w:sz="4" w:space="0" w:color="auto"/>
              <w:right w:val="single" w:sz="4" w:space="0" w:color="auto"/>
            </w:tcBorders>
            <w:vAlign w:val="center"/>
            <w:hideMark/>
          </w:tcPr>
          <w:p w:rsidR="00031355" w:rsidRPr="00AE0D77" w:rsidRDefault="00031355">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031355" w:rsidRPr="00AE0D77" w:rsidRDefault="00031355">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5</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031355" w:rsidRPr="00AE0D77" w:rsidRDefault="00031355">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031355" w:rsidRPr="00AE0D77" w:rsidRDefault="00031355">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1~5</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031355" w:rsidRPr="00AE0D77" w:rsidRDefault="00031355">
            <w:pPr>
              <w:snapToGrid w:val="0"/>
              <w:spacing w:line="300" w:lineRule="exact"/>
              <w:ind w:left="28" w:right="-142"/>
              <w:jc w:val="center"/>
              <w:rPr>
                <w:rFonts w:eastAsia="標楷體"/>
              </w:rPr>
            </w:pPr>
          </w:p>
        </w:tc>
      </w:tr>
      <w:tr w:rsidR="00031355" w:rsidRPr="00AE0D77" w:rsidTr="00031355">
        <w:tc>
          <w:tcPr>
            <w:tcW w:w="0" w:type="auto"/>
            <w:vMerge/>
            <w:tcBorders>
              <w:top w:val="sing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rPr>
            </w:pPr>
          </w:p>
        </w:tc>
        <w:tc>
          <w:tcPr>
            <w:tcW w:w="1559" w:type="dxa"/>
            <w:tcBorders>
              <w:top w:val="nil"/>
              <w:left w:val="nil"/>
              <w:bottom w:val="single" w:sz="4" w:space="0" w:color="auto"/>
              <w:right w:val="single" w:sz="4" w:space="0" w:color="auto"/>
            </w:tcBorders>
            <w:hideMark/>
          </w:tcPr>
          <w:p w:rsidR="00031355" w:rsidRPr="00AE0D77" w:rsidRDefault="00031355">
            <w:pPr>
              <w:snapToGrid w:val="0"/>
              <w:spacing w:line="300" w:lineRule="exact"/>
              <w:ind w:left="28"/>
              <w:jc w:val="center"/>
              <w:rPr>
                <w:rFonts w:eastAsia="標楷體"/>
              </w:rPr>
            </w:pPr>
            <w:r w:rsidRPr="00AE0D77">
              <w:rPr>
                <w:rFonts w:eastAsia="標楷體"/>
              </w:rPr>
              <w:t>營業額</w:t>
            </w:r>
          </w:p>
          <w:p w:rsidR="00031355" w:rsidRPr="00AE0D77" w:rsidRDefault="00031355">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031355" w:rsidRPr="00AE0D77" w:rsidRDefault="00031355">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031355" w:rsidRPr="00AE0D77" w:rsidRDefault="00031355">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031355" w:rsidRPr="00AE0D77" w:rsidRDefault="00031355">
            <w:pPr>
              <w:snapToGrid w:val="0"/>
              <w:spacing w:line="300" w:lineRule="exact"/>
              <w:ind w:left="28"/>
              <w:jc w:val="center"/>
              <w:rPr>
                <w:rFonts w:eastAsia="標楷體"/>
              </w:rPr>
            </w:pPr>
            <w:r w:rsidRPr="00AE0D77">
              <w:rPr>
                <w:rFonts w:eastAsia="標楷體"/>
              </w:rPr>
              <w:t>營業額</w:t>
            </w:r>
          </w:p>
          <w:p w:rsidR="00031355" w:rsidRPr="00AE0D77" w:rsidRDefault="00031355">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031355" w:rsidRPr="00AE0D77" w:rsidRDefault="00031355">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031355" w:rsidRPr="00AE0D77" w:rsidRDefault="00031355">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031355" w:rsidRPr="00AE0D77" w:rsidTr="00031355">
        <w:tc>
          <w:tcPr>
            <w:tcW w:w="2722" w:type="dxa"/>
            <w:tcBorders>
              <w:top w:val="single" w:sz="4" w:space="0" w:color="auto"/>
              <w:left w:val="nil"/>
              <w:bottom w:val="nil"/>
              <w:right w:val="single" w:sz="4" w:space="0" w:color="auto"/>
            </w:tcBorders>
            <w:hideMark/>
          </w:tcPr>
          <w:p w:rsidR="00031355" w:rsidRPr="00AE0D77" w:rsidRDefault="00031355">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031355" w:rsidRPr="00AE0D77" w:rsidRDefault="00031355">
            <w:pPr>
              <w:ind w:rightChars="165" w:right="396"/>
              <w:jc w:val="right"/>
              <w:rPr>
                <w:rFonts w:eastAsia="標楷體"/>
              </w:rPr>
            </w:pPr>
            <w:r w:rsidRPr="00AE0D77">
              <w:rPr>
                <w:rFonts w:eastAsia="標楷體"/>
              </w:rPr>
              <w:t>8,052</w:t>
            </w:r>
          </w:p>
        </w:tc>
        <w:tc>
          <w:tcPr>
            <w:tcW w:w="1559" w:type="dxa"/>
            <w:tcBorders>
              <w:top w:val="single" w:sz="4" w:space="0" w:color="auto"/>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3.5</w:t>
            </w:r>
          </w:p>
        </w:tc>
        <w:tc>
          <w:tcPr>
            <w:tcW w:w="1559" w:type="dxa"/>
            <w:tcBorders>
              <w:top w:val="single" w:sz="4" w:space="0" w:color="auto"/>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39,274</w:t>
            </w:r>
          </w:p>
        </w:tc>
        <w:tc>
          <w:tcPr>
            <w:tcW w:w="1560" w:type="dxa"/>
            <w:tcBorders>
              <w:top w:val="single" w:sz="4" w:space="0" w:color="auto"/>
              <w:left w:val="nil"/>
              <w:bottom w:val="nil"/>
              <w:right w:val="nil"/>
            </w:tcBorders>
            <w:hideMark/>
          </w:tcPr>
          <w:p w:rsidR="00031355" w:rsidRPr="00AE0D77" w:rsidRDefault="00031355">
            <w:pPr>
              <w:ind w:rightChars="283" w:right="679"/>
              <w:jc w:val="right"/>
              <w:rPr>
                <w:rFonts w:eastAsia="標楷體"/>
              </w:rPr>
            </w:pPr>
            <w:r w:rsidRPr="00AE0D77">
              <w:rPr>
                <w:rFonts w:eastAsia="標楷體"/>
              </w:rPr>
              <w:t>4.8</w:t>
            </w:r>
          </w:p>
        </w:tc>
      </w:tr>
      <w:tr w:rsidR="00031355" w:rsidRPr="00AE0D77" w:rsidTr="00031355">
        <w:tc>
          <w:tcPr>
            <w:tcW w:w="2722" w:type="dxa"/>
            <w:tcBorders>
              <w:top w:val="nil"/>
              <w:left w:val="nil"/>
              <w:bottom w:val="nil"/>
              <w:right w:val="single" w:sz="4" w:space="0" w:color="auto"/>
            </w:tcBorders>
            <w:vAlign w:val="center"/>
            <w:hideMark/>
          </w:tcPr>
          <w:p w:rsidR="00031355" w:rsidRPr="00AE0D77" w:rsidRDefault="00031355">
            <w:pPr>
              <w:autoSpaceDE w:val="0"/>
              <w:spacing w:line="320" w:lineRule="exact"/>
              <w:ind w:leftChars="100" w:left="240"/>
              <w:rPr>
                <w:rFonts w:eastAsia="標楷體"/>
                <w:szCs w:val="22"/>
              </w:rPr>
            </w:pPr>
            <w:r w:rsidRPr="00AE0D77">
              <w:rPr>
                <w:rFonts w:eastAsia="標楷體"/>
                <w:szCs w:val="22"/>
              </w:rPr>
              <w:t>機械器具業</w:t>
            </w:r>
            <w:r w:rsidRPr="00AE0D77">
              <w:rPr>
                <w:rFonts w:eastAsia="標楷體"/>
                <w:sz w:val="20"/>
              </w:rPr>
              <w:t>（註</w:t>
            </w:r>
            <w:r w:rsidRPr="00AE0D77">
              <w:rPr>
                <w:rFonts w:eastAsia="標楷體"/>
                <w:sz w:val="20"/>
              </w:rPr>
              <w:t>1</w:t>
            </w:r>
            <w:r w:rsidRPr="00AE0D77">
              <w:rPr>
                <w:rFonts w:eastAsia="標楷體"/>
                <w:sz w:val="20"/>
              </w:rPr>
              <w:t>）</w:t>
            </w:r>
          </w:p>
        </w:tc>
        <w:tc>
          <w:tcPr>
            <w:tcW w:w="1559" w:type="dxa"/>
            <w:hideMark/>
          </w:tcPr>
          <w:p w:rsidR="00031355" w:rsidRPr="00AE0D77" w:rsidRDefault="00031355">
            <w:pPr>
              <w:ind w:rightChars="165" w:right="396"/>
              <w:jc w:val="right"/>
              <w:rPr>
                <w:rFonts w:eastAsia="標楷體"/>
              </w:rPr>
            </w:pPr>
            <w:r w:rsidRPr="00AE0D77">
              <w:rPr>
                <w:rFonts w:eastAsia="標楷體"/>
              </w:rPr>
              <w:t>3,377</w:t>
            </w:r>
          </w:p>
        </w:tc>
        <w:tc>
          <w:tcPr>
            <w:tcW w:w="1559" w:type="dxa"/>
            <w:tcBorders>
              <w:top w:val="nil"/>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7.7</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15,867</w:t>
            </w:r>
          </w:p>
        </w:tc>
        <w:tc>
          <w:tcPr>
            <w:tcW w:w="1560" w:type="dxa"/>
            <w:hideMark/>
          </w:tcPr>
          <w:p w:rsidR="00031355" w:rsidRPr="00AE0D77" w:rsidRDefault="00031355">
            <w:pPr>
              <w:ind w:rightChars="283" w:right="679"/>
              <w:jc w:val="right"/>
              <w:rPr>
                <w:rFonts w:eastAsia="標楷體"/>
              </w:rPr>
            </w:pPr>
            <w:r w:rsidRPr="00AE0D77">
              <w:rPr>
                <w:rFonts w:eastAsia="標楷體"/>
              </w:rPr>
              <w:t>8.0</w:t>
            </w:r>
          </w:p>
        </w:tc>
      </w:tr>
      <w:tr w:rsidR="00031355" w:rsidRPr="00AE0D77" w:rsidTr="00031355">
        <w:tc>
          <w:tcPr>
            <w:tcW w:w="2722" w:type="dxa"/>
            <w:tcBorders>
              <w:top w:val="nil"/>
              <w:left w:val="nil"/>
              <w:bottom w:val="nil"/>
              <w:right w:val="single" w:sz="4" w:space="0" w:color="auto"/>
            </w:tcBorders>
            <w:vAlign w:val="center"/>
            <w:hideMark/>
          </w:tcPr>
          <w:p w:rsidR="00031355" w:rsidRPr="00AE0D77" w:rsidRDefault="00031355">
            <w:pPr>
              <w:autoSpaceDE w:val="0"/>
              <w:spacing w:line="320" w:lineRule="exact"/>
              <w:ind w:leftChars="100" w:left="240"/>
              <w:rPr>
                <w:rFonts w:eastAsia="標楷體"/>
                <w:szCs w:val="22"/>
              </w:rPr>
            </w:pPr>
            <w:r w:rsidRPr="00AE0D77">
              <w:rPr>
                <w:rFonts w:eastAsia="標楷體"/>
                <w:szCs w:val="22"/>
              </w:rPr>
              <w:t>食品、飲料及菸草業</w:t>
            </w:r>
          </w:p>
        </w:tc>
        <w:tc>
          <w:tcPr>
            <w:tcW w:w="1559" w:type="dxa"/>
            <w:hideMark/>
          </w:tcPr>
          <w:p w:rsidR="00031355" w:rsidRPr="00AE0D77" w:rsidRDefault="00031355">
            <w:pPr>
              <w:ind w:rightChars="165" w:right="396"/>
              <w:jc w:val="right"/>
              <w:rPr>
                <w:rFonts w:eastAsia="標楷體"/>
              </w:rPr>
            </w:pPr>
            <w:r w:rsidRPr="00AE0D77">
              <w:rPr>
                <w:rFonts w:eastAsia="標楷體"/>
              </w:rPr>
              <w:t>767</w:t>
            </w:r>
          </w:p>
        </w:tc>
        <w:tc>
          <w:tcPr>
            <w:tcW w:w="1559" w:type="dxa"/>
            <w:tcBorders>
              <w:top w:val="nil"/>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4.3</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3,693</w:t>
            </w:r>
          </w:p>
        </w:tc>
        <w:tc>
          <w:tcPr>
            <w:tcW w:w="1560" w:type="dxa"/>
            <w:hideMark/>
          </w:tcPr>
          <w:p w:rsidR="00031355" w:rsidRPr="00AE0D77" w:rsidRDefault="00031355">
            <w:pPr>
              <w:ind w:rightChars="283" w:right="679"/>
              <w:jc w:val="right"/>
              <w:rPr>
                <w:rFonts w:eastAsia="標楷體"/>
              </w:rPr>
            </w:pPr>
            <w:r w:rsidRPr="00AE0D77">
              <w:rPr>
                <w:rFonts w:eastAsia="標楷體"/>
              </w:rPr>
              <w:t>2.3</w:t>
            </w:r>
          </w:p>
        </w:tc>
      </w:tr>
      <w:tr w:rsidR="00031355" w:rsidRPr="00AE0D77" w:rsidTr="00031355">
        <w:tc>
          <w:tcPr>
            <w:tcW w:w="2722" w:type="dxa"/>
            <w:tcBorders>
              <w:top w:val="nil"/>
              <w:left w:val="nil"/>
              <w:bottom w:val="nil"/>
              <w:right w:val="single" w:sz="4" w:space="0" w:color="auto"/>
            </w:tcBorders>
            <w:vAlign w:val="center"/>
            <w:hideMark/>
          </w:tcPr>
          <w:p w:rsidR="00031355" w:rsidRPr="00AE0D77" w:rsidRDefault="00031355">
            <w:pPr>
              <w:autoSpaceDE w:val="0"/>
              <w:spacing w:line="320" w:lineRule="exact"/>
              <w:ind w:leftChars="100" w:left="240"/>
              <w:rPr>
                <w:rFonts w:eastAsia="標楷體"/>
                <w:szCs w:val="22"/>
              </w:rPr>
            </w:pPr>
            <w:r w:rsidRPr="00AE0D77">
              <w:rPr>
                <w:rFonts w:eastAsia="標楷體"/>
                <w:szCs w:val="22"/>
              </w:rPr>
              <w:t>家庭器具業</w:t>
            </w:r>
            <w:r w:rsidRPr="00AE0D77">
              <w:rPr>
                <w:rFonts w:eastAsia="標楷體"/>
                <w:sz w:val="20"/>
              </w:rPr>
              <w:t>（註</w:t>
            </w:r>
            <w:r w:rsidRPr="00AE0D77">
              <w:rPr>
                <w:rFonts w:eastAsia="標楷體"/>
                <w:sz w:val="20"/>
              </w:rPr>
              <w:t>2</w:t>
            </w:r>
            <w:r w:rsidRPr="00AE0D77">
              <w:rPr>
                <w:rFonts w:eastAsia="標楷體"/>
                <w:sz w:val="20"/>
              </w:rPr>
              <w:t>）</w:t>
            </w:r>
          </w:p>
        </w:tc>
        <w:tc>
          <w:tcPr>
            <w:tcW w:w="1559" w:type="dxa"/>
            <w:hideMark/>
          </w:tcPr>
          <w:p w:rsidR="00031355" w:rsidRPr="00AE0D77" w:rsidRDefault="00031355">
            <w:pPr>
              <w:ind w:rightChars="165" w:right="396"/>
              <w:jc w:val="right"/>
              <w:rPr>
                <w:rFonts w:eastAsia="標楷體"/>
              </w:rPr>
            </w:pPr>
            <w:r w:rsidRPr="00AE0D77">
              <w:rPr>
                <w:rFonts w:eastAsia="標楷體"/>
              </w:rPr>
              <w:t>583</w:t>
            </w:r>
          </w:p>
        </w:tc>
        <w:tc>
          <w:tcPr>
            <w:tcW w:w="1559" w:type="dxa"/>
            <w:tcBorders>
              <w:top w:val="nil"/>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-4.9</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3,040</w:t>
            </w:r>
          </w:p>
        </w:tc>
        <w:tc>
          <w:tcPr>
            <w:tcW w:w="1560" w:type="dxa"/>
            <w:hideMark/>
          </w:tcPr>
          <w:p w:rsidR="00031355" w:rsidRPr="00AE0D77" w:rsidRDefault="00031355">
            <w:pPr>
              <w:ind w:rightChars="283" w:right="679"/>
              <w:jc w:val="right"/>
              <w:rPr>
                <w:rFonts w:eastAsia="標楷體"/>
              </w:rPr>
            </w:pPr>
            <w:r w:rsidRPr="00AE0D77">
              <w:rPr>
                <w:rFonts w:eastAsia="標楷體"/>
              </w:rPr>
              <w:t>-1.5</w:t>
            </w:r>
          </w:p>
        </w:tc>
      </w:tr>
      <w:tr w:rsidR="00031355" w:rsidRPr="00AE0D77" w:rsidTr="00031355">
        <w:tc>
          <w:tcPr>
            <w:tcW w:w="2722" w:type="dxa"/>
            <w:tcBorders>
              <w:top w:val="nil"/>
              <w:left w:val="nil"/>
              <w:bottom w:val="nil"/>
              <w:right w:val="single" w:sz="4" w:space="0" w:color="auto"/>
            </w:tcBorders>
            <w:vAlign w:val="center"/>
            <w:hideMark/>
          </w:tcPr>
          <w:p w:rsidR="00031355" w:rsidRPr="00AE0D77" w:rsidRDefault="00031355">
            <w:pPr>
              <w:autoSpaceDE w:val="0"/>
              <w:spacing w:line="320" w:lineRule="exact"/>
              <w:ind w:leftChars="100" w:left="240"/>
              <w:rPr>
                <w:rFonts w:eastAsia="標楷體"/>
                <w:szCs w:val="22"/>
              </w:rPr>
            </w:pPr>
            <w:r w:rsidRPr="00AE0D77">
              <w:rPr>
                <w:rFonts w:eastAsia="標楷體"/>
                <w:szCs w:val="22"/>
              </w:rPr>
              <w:t>建材業</w:t>
            </w:r>
          </w:p>
        </w:tc>
        <w:tc>
          <w:tcPr>
            <w:tcW w:w="1559" w:type="dxa"/>
            <w:hideMark/>
          </w:tcPr>
          <w:p w:rsidR="00031355" w:rsidRPr="00AE0D77" w:rsidRDefault="00031355">
            <w:pPr>
              <w:ind w:rightChars="165" w:right="396"/>
              <w:jc w:val="right"/>
              <w:rPr>
                <w:rFonts w:eastAsia="標楷體"/>
              </w:rPr>
            </w:pPr>
            <w:r w:rsidRPr="00AE0D77">
              <w:rPr>
                <w:rFonts w:eastAsia="標楷體"/>
              </w:rPr>
              <w:t>653</w:t>
            </w:r>
          </w:p>
        </w:tc>
        <w:tc>
          <w:tcPr>
            <w:tcW w:w="1559" w:type="dxa"/>
            <w:tcBorders>
              <w:top w:val="nil"/>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6.9</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3,129</w:t>
            </w:r>
          </w:p>
        </w:tc>
        <w:tc>
          <w:tcPr>
            <w:tcW w:w="1560" w:type="dxa"/>
            <w:hideMark/>
          </w:tcPr>
          <w:p w:rsidR="00031355" w:rsidRPr="00AE0D77" w:rsidRDefault="00031355">
            <w:pPr>
              <w:ind w:rightChars="283" w:right="679"/>
              <w:jc w:val="right"/>
              <w:rPr>
                <w:rFonts w:eastAsia="標楷體"/>
              </w:rPr>
            </w:pPr>
            <w:r w:rsidRPr="00AE0D77">
              <w:rPr>
                <w:rFonts w:eastAsia="標楷體"/>
              </w:rPr>
              <w:t>10.4</w:t>
            </w:r>
          </w:p>
        </w:tc>
      </w:tr>
      <w:tr w:rsidR="00031355" w:rsidRPr="00AE0D77" w:rsidTr="00031355">
        <w:tc>
          <w:tcPr>
            <w:tcW w:w="2722" w:type="dxa"/>
            <w:tcBorders>
              <w:top w:val="nil"/>
              <w:left w:val="nil"/>
              <w:bottom w:val="nil"/>
              <w:right w:val="single" w:sz="4" w:space="0" w:color="auto"/>
            </w:tcBorders>
            <w:vAlign w:val="center"/>
            <w:hideMark/>
          </w:tcPr>
          <w:p w:rsidR="00031355" w:rsidRPr="00AE0D77" w:rsidRDefault="00031355">
            <w:pPr>
              <w:autoSpaceDE w:val="0"/>
              <w:spacing w:line="320" w:lineRule="exact"/>
              <w:ind w:leftChars="100" w:left="240"/>
              <w:rPr>
                <w:rFonts w:eastAsia="標楷體"/>
              </w:rPr>
            </w:pPr>
            <w:r w:rsidRPr="00AE0D77">
              <w:rPr>
                <w:rFonts w:eastAsia="標楷體"/>
                <w:spacing w:val="-6"/>
              </w:rPr>
              <w:t>汽機車</w:t>
            </w:r>
            <w:r w:rsidRPr="00AE0D77">
              <w:rPr>
                <w:rFonts w:eastAsia="標楷體"/>
              </w:rPr>
              <w:t>業</w:t>
            </w:r>
          </w:p>
        </w:tc>
        <w:tc>
          <w:tcPr>
            <w:tcW w:w="1559" w:type="dxa"/>
            <w:hideMark/>
          </w:tcPr>
          <w:p w:rsidR="00031355" w:rsidRPr="00AE0D77" w:rsidRDefault="00031355">
            <w:pPr>
              <w:ind w:rightChars="165" w:right="396"/>
              <w:jc w:val="right"/>
              <w:rPr>
                <w:rFonts w:eastAsia="標楷體"/>
              </w:rPr>
            </w:pPr>
            <w:r w:rsidRPr="00AE0D77">
              <w:rPr>
                <w:rFonts w:eastAsia="標楷體"/>
              </w:rPr>
              <w:t>505</w:t>
            </w:r>
          </w:p>
        </w:tc>
        <w:tc>
          <w:tcPr>
            <w:tcW w:w="1559" w:type="dxa"/>
            <w:tcBorders>
              <w:top w:val="nil"/>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-2.3</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2,622</w:t>
            </w:r>
          </w:p>
        </w:tc>
        <w:tc>
          <w:tcPr>
            <w:tcW w:w="1560" w:type="dxa"/>
            <w:hideMark/>
          </w:tcPr>
          <w:p w:rsidR="00031355" w:rsidRPr="00AE0D77" w:rsidRDefault="00031355">
            <w:pPr>
              <w:ind w:rightChars="283" w:right="679"/>
              <w:jc w:val="right"/>
              <w:rPr>
                <w:rFonts w:eastAsia="標楷體"/>
              </w:rPr>
            </w:pPr>
            <w:r w:rsidRPr="00AE0D77">
              <w:rPr>
                <w:rFonts w:eastAsia="標楷體"/>
              </w:rPr>
              <w:t>2.3</w:t>
            </w:r>
          </w:p>
        </w:tc>
      </w:tr>
      <w:tr w:rsidR="00031355" w:rsidRPr="00AE0D77" w:rsidTr="00031355">
        <w:tc>
          <w:tcPr>
            <w:tcW w:w="2722" w:type="dxa"/>
            <w:tcBorders>
              <w:top w:val="nil"/>
              <w:left w:val="nil"/>
              <w:bottom w:val="nil"/>
              <w:right w:val="single" w:sz="4" w:space="0" w:color="auto"/>
            </w:tcBorders>
            <w:vAlign w:val="center"/>
            <w:hideMark/>
          </w:tcPr>
          <w:p w:rsidR="00031355" w:rsidRPr="00AE0D77" w:rsidRDefault="00031355">
            <w:pPr>
              <w:autoSpaceDE w:val="0"/>
              <w:spacing w:line="320" w:lineRule="exact"/>
              <w:ind w:leftChars="100" w:left="240"/>
              <w:rPr>
                <w:rFonts w:eastAsia="標楷體"/>
              </w:rPr>
            </w:pPr>
            <w:r w:rsidRPr="00AE0D77">
              <w:rPr>
                <w:rFonts w:eastAsia="標楷體"/>
              </w:rPr>
              <w:t>綜合商品業</w:t>
            </w:r>
          </w:p>
        </w:tc>
        <w:tc>
          <w:tcPr>
            <w:tcW w:w="1559" w:type="dxa"/>
            <w:hideMark/>
          </w:tcPr>
          <w:p w:rsidR="00031355" w:rsidRPr="00AE0D77" w:rsidRDefault="00031355">
            <w:pPr>
              <w:ind w:rightChars="165" w:right="396"/>
              <w:jc w:val="right"/>
              <w:rPr>
                <w:rFonts w:eastAsia="標楷體"/>
              </w:rPr>
            </w:pPr>
            <w:r w:rsidRPr="00AE0D77">
              <w:rPr>
                <w:rFonts w:eastAsia="標楷體"/>
              </w:rPr>
              <w:t>515</w:t>
            </w:r>
          </w:p>
        </w:tc>
        <w:tc>
          <w:tcPr>
            <w:tcW w:w="1559" w:type="dxa"/>
            <w:tcBorders>
              <w:top w:val="nil"/>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2.2</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2,534</w:t>
            </w:r>
          </w:p>
        </w:tc>
        <w:tc>
          <w:tcPr>
            <w:tcW w:w="1560" w:type="dxa"/>
            <w:hideMark/>
          </w:tcPr>
          <w:p w:rsidR="00031355" w:rsidRPr="00AE0D77" w:rsidRDefault="00031355">
            <w:pPr>
              <w:ind w:rightChars="283" w:right="679"/>
              <w:jc w:val="right"/>
              <w:rPr>
                <w:rFonts w:eastAsia="標楷體"/>
              </w:rPr>
            </w:pPr>
            <w:r w:rsidRPr="00AE0D77">
              <w:rPr>
                <w:rFonts w:eastAsia="標楷體"/>
              </w:rPr>
              <w:t>2.8</w:t>
            </w:r>
          </w:p>
        </w:tc>
      </w:tr>
      <w:tr w:rsidR="00031355" w:rsidRPr="00AE0D77" w:rsidTr="00031355">
        <w:trPr>
          <w:trHeight w:val="80"/>
        </w:trPr>
        <w:tc>
          <w:tcPr>
            <w:tcW w:w="2722" w:type="dxa"/>
            <w:tcBorders>
              <w:top w:val="nil"/>
              <w:left w:val="nil"/>
              <w:bottom w:val="nil"/>
              <w:right w:val="single" w:sz="4" w:space="0" w:color="auto"/>
            </w:tcBorders>
            <w:vAlign w:val="center"/>
            <w:hideMark/>
          </w:tcPr>
          <w:p w:rsidR="00031355" w:rsidRPr="00AE0D77" w:rsidRDefault="00031355">
            <w:pPr>
              <w:autoSpaceDE w:val="0"/>
              <w:spacing w:line="320" w:lineRule="exact"/>
              <w:ind w:leftChars="100" w:left="240"/>
              <w:rPr>
                <w:rFonts w:eastAsia="標楷體"/>
                <w:szCs w:val="22"/>
              </w:rPr>
            </w:pPr>
            <w:r w:rsidRPr="00AE0D77">
              <w:rPr>
                <w:rFonts w:eastAsia="標楷體"/>
                <w:szCs w:val="22"/>
              </w:rPr>
              <w:t>布疋及服飾品業</w:t>
            </w:r>
          </w:p>
        </w:tc>
        <w:tc>
          <w:tcPr>
            <w:tcW w:w="1559" w:type="dxa"/>
            <w:hideMark/>
          </w:tcPr>
          <w:p w:rsidR="00031355" w:rsidRPr="00AE0D77" w:rsidRDefault="00031355">
            <w:pPr>
              <w:ind w:rightChars="165" w:right="396"/>
              <w:jc w:val="right"/>
              <w:rPr>
                <w:rFonts w:eastAsia="標楷體"/>
              </w:rPr>
            </w:pPr>
            <w:r w:rsidRPr="00AE0D77">
              <w:rPr>
                <w:rFonts w:eastAsia="標楷體"/>
              </w:rPr>
              <w:t>378</w:t>
            </w:r>
          </w:p>
        </w:tc>
        <w:tc>
          <w:tcPr>
            <w:tcW w:w="1559" w:type="dxa"/>
            <w:tcBorders>
              <w:top w:val="nil"/>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-7.1</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1,972</w:t>
            </w:r>
          </w:p>
        </w:tc>
        <w:tc>
          <w:tcPr>
            <w:tcW w:w="1560" w:type="dxa"/>
            <w:hideMark/>
          </w:tcPr>
          <w:p w:rsidR="00031355" w:rsidRPr="00AE0D77" w:rsidRDefault="00031355">
            <w:pPr>
              <w:ind w:rightChars="283" w:right="679"/>
              <w:jc w:val="right"/>
              <w:rPr>
                <w:rFonts w:eastAsia="標楷體"/>
              </w:rPr>
            </w:pPr>
            <w:r w:rsidRPr="00AE0D77">
              <w:rPr>
                <w:rFonts w:eastAsia="標楷體"/>
              </w:rPr>
              <w:t>-5.7</w:t>
            </w:r>
          </w:p>
        </w:tc>
      </w:tr>
      <w:tr w:rsidR="00031355" w:rsidRPr="00AE0D77" w:rsidTr="00031355">
        <w:trPr>
          <w:trHeight w:val="80"/>
        </w:trPr>
        <w:tc>
          <w:tcPr>
            <w:tcW w:w="2722" w:type="dxa"/>
            <w:tcBorders>
              <w:top w:val="nil"/>
              <w:left w:val="nil"/>
              <w:bottom w:val="nil"/>
              <w:right w:val="single" w:sz="4" w:space="0" w:color="auto"/>
            </w:tcBorders>
            <w:vAlign w:val="center"/>
            <w:hideMark/>
          </w:tcPr>
          <w:p w:rsidR="00031355" w:rsidRPr="00AE0D77" w:rsidRDefault="00031355">
            <w:pPr>
              <w:autoSpaceDE w:val="0"/>
              <w:spacing w:line="320" w:lineRule="exact"/>
              <w:ind w:leftChars="100" w:left="240"/>
              <w:rPr>
                <w:rFonts w:eastAsia="標楷體"/>
                <w:bCs/>
                <w:noProof/>
              </w:rPr>
            </w:pPr>
            <w:r w:rsidRPr="00AE0D77">
              <w:rPr>
                <w:rFonts w:eastAsia="標楷體"/>
                <w:bCs/>
                <w:noProof/>
              </w:rPr>
              <w:t>藥品及化妝品業</w:t>
            </w:r>
          </w:p>
        </w:tc>
        <w:tc>
          <w:tcPr>
            <w:tcW w:w="1559" w:type="dxa"/>
            <w:hideMark/>
          </w:tcPr>
          <w:p w:rsidR="00031355" w:rsidRPr="00AE0D77" w:rsidRDefault="00031355">
            <w:pPr>
              <w:ind w:rightChars="165" w:right="396"/>
              <w:jc w:val="right"/>
              <w:rPr>
                <w:rFonts w:eastAsia="標楷體"/>
              </w:rPr>
            </w:pPr>
            <w:r w:rsidRPr="00AE0D77">
              <w:rPr>
                <w:rFonts w:eastAsia="標楷體"/>
              </w:rPr>
              <w:t>354</w:t>
            </w:r>
          </w:p>
        </w:tc>
        <w:tc>
          <w:tcPr>
            <w:tcW w:w="1559" w:type="dxa"/>
            <w:tcBorders>
              <w:top w:val="nil"/>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5.4</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1,789</w:t>
            </w:r>
          </w:p>
        </w:tc>
        <w:tc>
          <w:tcPr>
            <w:tcW w:w="1560" w:type="dxa"/>
            <w:hideMark/>
          </w:tcPr>
          <w:p w:rsidR="00031355" w:rsidRPr="00AE0D77" w:rsidRDefault="00031355">
            <w:pPr>
              <w:ind w:rightChars="283" w:right="679"/>
              <w:jc w:val="right"/>
              <w:rPr>
                <w:rFonts w:eastAsia="標楷體"/>
              </w:rPr>
            </w:pPr>
            <w:r w:rsidRPr="00AE0D77">
              <w:rPr>
                <w:rFonts w:eastAsia="標楷體"/>
              </w:rPr>
              <w:t>8.9</w:t>
            </w:r>
          </w:p>
        </w:tc>
      </w:tr>
      <w:tr w:rsidR="00031355" w:rsidRPr="00AE0D77" w:rsidTr="00031355">
        <w:trPr>
          <w:trHeight w:val="80"/>
        </w:trPr>
        <w:tc>
          <w:tcPr>
            <w:tcW w:w="2722" w:type="dxa"/>
            <w:tcBorders>
              <w:top w:val="nil"/>
              <w:left w:val="nil"/>
              <w:bottom w:val="nil"/>
              <w:right w:val="single" w:sz="4" w:space="0" w:color="auto"/>
            </w:tcBorders>
            <w:vAlign w:val="center"/>
            <w:hideMark/>
          </w:tcPr>
          <w:p w:rsidR="00031355" w:rsidRPr="00AE0D77" w:rsidRDefault="00031355">
            <w:pPr>
              <w:autoSpaceDE w:val="0"/>
              <w:spacing w:line="320" w:lineRule="exact"/>
              <w:ind w:leftChars="100" w:left="240"/>
              <w:rPr>
                <w:rFonts w:eastAsia="標楷體"/>
                <w:szCs w:val="22"/>
              </w:rPr>
            </w:pPr>
            <w:r w:rsidRPr="00AE0D77">
              <w:rPr>
                <w:rFonts w:eastAsia="標楷體"/>
                <w:bCs/>
                <w:noProof/>
              </w:rPr>
              <w:t>化學業</w:t>
            </w:r>
          </w:p>
        </w:tc>
        <w:tc>
          <w:tcPr>
            <w:tcW w:w="1559" w:type="dxa"/>
            <w:hideMark/>
          </w:tcPr>
          <w:p w:rsidR="00031355" w:rsidRPr="00AE0D77" w:rsidRDefault="00031355">
            <w:pPr>
              <w:ind w:rightChars="165" w:right="396"/>
              <w:jc w:val="right"/>
              <w:rPr>
                <w:rFonts w:eastAsia="標楷體"/>
              </w:rPr>
            </w:pPr>
            <w:r w:rsidRPr="00AE0D77">
              <w:rPr>
                <w:rFonts w:eastAsia="標楷體"/>
              </w:rPr>
              <w:t>341</w:t>
            </w:r>
          </w:p>
        </w:tc>
        <w:tc>
          <w:tcPr>
            <w:tcW w:w="1559" w:type="dxa"/>
            <w:tcBorders>
              <w:top w:val="nil"/>
              <w:left w:val="nil"/>
              <w:bottom w:val="nil"/>
              <w:right w:val="double" w:sz="4" w:space="0" w:color="auto"/>
            </w:tcBorders>
            <w:hideMark/>
          </w:tcPr>
          <w:p w:rsidR="00031355" w:rsidRPr="00AE0D77" w:rsidRDefault="00031355">
            <w:pPr>
              <w:ind w:rightChars="283" w:right="679"/>
              <w:jc w:val="right"/>
              <w:rPr>
                <w:rFonts w:eastAsia="標楷體"/>
              </w:rPr>
            </w:pPr>
            <w:r w:rsidRPr="00AE0D77">
              <w:rPr>
                <w:rFonts w:eastAsia="標楷體"/>
              </w:rPr>
              <w:t>5.7</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1,692</w:t>
            </w:r>
          </w:p>
        </w:tc>
        <w:tc>
          <w:tcPr>
            <w:tcW w:w="1560" w:type="dxa"/>
            <w:hideMark/>
          </w:tcPr>
          <w:p w:rsidR="00031355" w:rsidRPr="00AE0D77" w:rsidRDefault="00031355">
            <w:pPr>
              <w:ind w:rightChars="283" w:right="679"/>
              <w:jc w:val="right"/>
              <w:rPr>
                <w:rFonts w:eastAsia="標楷體"/>
              </w:rPr>
            </w:pPr>
            <w:r w:rsidRPr="00AE0D77">
              <w:rPr>
                <w:rFonts w:eastAsia="標楷體"/>
              </w:rPr>
              <w:t>5.8</w:t>
            </w:r>
          </w:p>
        </w:tc>
      </w:tr>
      <w:tr w:rsidR="00031355" w:rsidRPr="00AE0D77" w:rsidTr="00031355">
        <w:trPr>
          <w:trHeight w:val="80"/>
        </w:trPr>
        <w:tc>
          <w:tcPr>
            <w:tcW w:w="2722" w:type="dxa"/>
            <w:tcBorders>
              <w:top w:val="nil"/>
              <w:left w:val="nil"/>
              <w:bottom w:val="single" w:sz="4" w:space="0" w:color="auto"/>
              <w:right w:val="single" w:sz="4" w:space="0" w:color="auto"/>
            </w:tcBorders>
            <w:vAlign w:val="center"/>
            <w:hideMark/>
          </w:tcPr>
          <w:p w:rsidR="00031355" w:rsidRPr="00AE0D77" w:rsidRDefault="00031355">
            <w:pPr>
              <w:autoSpaceDE w:val="0"/>
              <w:spacing w:line="320" w:lineRule="exact"/>
              <w:ind w:leftChars="100" w:left="240"/>
              <w:rPr>
                <w:rFonts w:eastAsia="標楷體"/>
                <w:szCs w:val="22"/>
              </w:rPr>
            </w:pPr>
            <w:r w:rsidRPr="00AE0D77">
              <w:rPr>
                <w:rFonts w:eastAsia="標楷體"/>
                <w:szCs w:val="22"/>
              </w:rPr>
              <w:t>其他批發業</w:t>
            </w:r>
            <w:r w:rsidRPr="00AE0D77">
              <w:rPr>
                <w:rFonts w:eastAsia="標楷體"/>
                <w:sz w:val="20"/>
              </w:rPr>
              <w:t>（註</w:t>
            </w:r>
            <w:r w:rsidRPr="00AE0D77">
              <w:rPr>
                <w:rFonts w:eastAsia="標楷體"/>
                <w:sz w:val="20"/>
              </w:rPr>
              <w:t>3</w:t>
            </w:r>
            <w:r w:rsidRPr="00AE0D77">
              <w:rPr>
                <w:rFonts w:eastAsia="標楷體"/>
                <w:sz w:val="20"/>
              </w:rPr>
              <w:t>）</w:t>
            </w:r>
          </w:p>
        </w:tc>
        <w:tc>
          <w:tcPr>
            <w:tcW w:w="1559" w:type="dxa"/>
            <w:tcBorders>
              <w:top w:val="nil"/>
              <w:left w:val="nil"/>
              <w:bottom w:val="single" w:sz="4" w:space="0" w:color="auto"/>
              <w:right w:val="nil"/>
            </w:tcBorders>
            <w:hideMark/>
          </w:tcPr>
          <w:p w:rsidR="00031355" w:rsidRPr="00AE0D77" w:rsidRDefault="00031355">
            <w:pPr>
              <w:ind w:rightChars="165" w:right="396"/>
              <w:jc w:val="right"/>
              <w:rPr>
                <w:rFonts w:eastAsia="標楷體"/>
              </w:rPr>
            </w:pPr>
            <w:r w:rsidRPr="00AE0D77">
              <w:rPr>
                <w:rFonts w:eastAsia="標楷體"/>
              </w:rPr>
              <w:t>577</w:t>
            </w:r>
          </w:p>
        </w:tc>
        <w:tc>
          <w:tcPr>
            <w:tcW w:w="1559" w:type="dxa"/>
            <w:tcBorders>
              <w:top w:val="nil"/>
              <w:left w:val="nil"/>
              <w:bottom w:val="single" w:sz="4" w:space="0" w:color="auto"/>
              <w:right w:val="double" w:sz="4" w:space="0" w:color="auto"/>
            </w:tcBorders>
            <w:hideMark/>
          </w:tcPr>
          <w:p w:rsidR="00031355" w:rsidRPr="00AE0D77" w:rsidRDefault="00031355">
            <w:pPr>
              <w:ind w:rightChars="283" w:right="679"/>
              <w:jc w:val="right"/>
              <w:rPr>
                <w:rFonts w:eastAsia="標楷體"/>
              </w:rPr>
            </w:pPr>
            <w:r w:rsidRPr="00AE0D77">
              <w:rPr>
                <w:rFonts w:eastAsia="標楷體"/>
              </w:rPr>
              <w:t>-3.2</w:t>
            </w:r>
          </w:p>
        </w:tc>
        <w:tc>
          <w:tcPr>
            <w:tcW w:w="1559" w:type="dxa"/>
            <w:tcBorders>
              <w:top w:val="nil"/>
              <w:left w:val="double" w:sz="4" w:space="0" w:color="auto"/>
              <w:bottom w:val="single" w:sz="4" w:space="0" w:color="auto"/>
              <w:right w:val="nil"/>
            </w:tcBorders>
            <w:hideMark/>
          </w:tcPr>
          <w:p w:rsidR="00031355" w:rsidRPr="00AE0D77" w:rsidRDefault="00031355">
            <w:pPr>
              <w:ind w:rightChars="165" w:right="396"/>
              <w:jc w:val="right"/>
              <w:rPr>
                <w:rFonts w:eastAsia="標楷體"/>
              </w:rPr>
            </w:pPr>
            <w:r w:rsidRPr="00AE0D77">
              <w:rPr>
                <w:rFonts w:eastAsia="標楷體"/>
              </w:rPr>
              <w:t>2,935</w:t>
            </w:r>
          </w:p>
        </w:tc>
        <w:tc>
          <w:tcPr>
            <w:tcW w:w="1560" w:type="dxa"/>
            <w:tcBorders>
              <w:top w:val="nil"/>
              <w:left w:val="nil"/>
              <w:bottom w:val="single" w:sz="4" w:space="0" w:color="auto"/>
              <w:right w:val="nil"/>
            </w:tcBorders>
            <w:hideMark/>
          </w:tcPr>
          <w:p w:rsidR="00031355" w:rsidRPr="00AE0D77" w:rsidRDefault="00031355">
            <w:pPr>
              <w:ind w:rightChars="283" w:right="679"/>
              <w:jc w:val="right"/>
              <w:rPr>
                <w:rFonts w:eastAsia="標楷體"/>
              </w:rPr>
            </w:pPr>
            <w:r w:rsidRPr="00AE0D77">
              <w:rPr>
                <w:rFonts w:eastAsia="標楷體"/>
              </w:rPr>
              <w:t>1.8</w:t>
            </w:r>
          </w:p>
        </w:tc>
      </w:tr>
    </w:tbl>
    <w:p w:rsidR="004770CC" w:rsidRPr="00AE0D77" w:rsidRDefault="00F67965" w:rsidP="004770CC">
      <w:pPr>
        <w:widowControl/>
        <w:tabs>
          <w:tab w:val="left" w:pos="426"/>
        </w:tabs>
        <w:snapToGrid w:val="0"/>
        <w:ind w:firstLineChars="193" w:firstLine="425"/>
        <w:jc w:val="both"/>
        <w:rPr>
          <w:rFonts w:eastAsia="標楷體"/>
          <w:kern w:val="0"/>
          <w:sz w:val="22"/>
          <w:szCs w:val="22"/>
        </w:rPr>
      </w:pPr>
      <w:r w:rsidRPr="00AE0D77">
        <w:rPr>
          <w:rFonts w:eastAsia="標楷體"/>
          <w:kern w:val="0"/>
          <w:sz w:val="22"/>
          <w:szCs w:val="22"/>
        </w:rPr>
        <w:t>註：</w:t>
      </w:r>
      <w:r w:rsidR="004770CC" w:rsidRPr="00AE0D77">
        <w:rPr>
          <w:rFonts w:eastAsia="標楷體"/>
          <w:kern w:val="0"/>
          <w:sz w:val="22"/>
          <w:szCs w:val="22"/>
        </w:rPr>
        <w:t>1.</w:t>
      </w:r>
      <w:r w:rsidR="004770CC" w:rsidRPr="00AE0D77">
        <w:rPr>
          <w:rFonts w:eastAsia="標楷體"/>
          <w:kern w:val="0"/>
          <w:sz w:val="22"/>
          <w:szCs w:val="22"/>
        </w:rPr>
        <w:t>機械器具業：包括電腦、手持行動裝置、電子與電力設備、機械及其配備等。</w:t>
      </w:r>
    </w:p>
    <w:p w:rsidR="004770CC" w:rsidRPr="00AE0D77" w:rsidRDefault="004770CC" w:rsidP="004770CC">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：包括電器、家具、光學器材、黃金白銀貴金屬等。</w:t>
      </w:r>
    </w:p>
    <w:p w:rsidR="00F67965" w:rsidRPr="00AE0D77" w:rsidRDefault="004770CC" w:rsidP="004770CC">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F67965" w:rsidRPr="00AE0D77" w:rsidRDefault="00F67965" w:rsidP="00F67965">
      <w:pPr>
        <w:widowControl/>
        <w:tabs>
          <w:tab w:val="left" w:pos="426"/>
        </w:tabs>
        <w:snapToGrid w:val="0"/>
        <w:ind w:firstLineChars="193" w:firstLine="425"/>
        <w:jc w:val="both"/>
        <w:rPr>
          <w:rFonts w:eastAsia="標楷體"/>
          <w:kern w:val="0"/>
          <w:sz w:val="22"/>
          <w:szCs w:val="22"/>
        </w:rPr>
      </w:pPr>
      <w:r w:rsidRPr="00AE0D77">
        <w:rPr>
          <w:rFonts w:eastAsia="標楷體"/>
          <w:kern w:val="0"/>
          <w:sz w:val="22"/>
          <w:szCs w:val="22"/>
        </w:rPr>
        <w:t>資料來源：經濟部統計處。</w:t>
      </w:r>
    </w:p>
    <w:p w:rsidR="00F67965" w:rsidRPr="00AE0D77" w:rsidRDefault="00F67965" w:rsidP="00F67965">
      <w:pPr>
        <w:widowControl/>
        <w:rPr>
          <w:rFonts w:eastAsia="標楷體"/>
          <w:kern w:val="0"/>
          <w:sz w:val="22"/>
          <w:szCs w:val="22"/>
        </w:rPr>
      </w:pPr>
      <w:r w:rsidRPr="00AE0D77">
        <w:rPr>
          <w:rFonts w:eastAsia="標楷體"/>
          <w:sz w:val="22"/>
          <w:szCs w:val="22"/>
        </w:rPr>
        <w:br w:type="page"/>
      </w:r>
    </w:p>
    <w:p w:rsidR="00F67965" w:rsidRPr="00AE0D77" w:rsidRDefault="00F67965" w:rsidP="00F67965">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AE0D77">
        <w:rPr>
          <w:rFonts w:eastAsia="標楷體"/>
          <w:b/>
          <w:bCs/>
          <w:kern w:val="0"/>
          <w:sz w:val="28"/>
          <w:szCs w:val="20"/>
        </w:rPr>
        <w:t>３、</w:t>
      </w:r>
      <w:r w:rsidR="00031355" w:rsidRPr="00AE0D77">
        <w:rPr>
          <w:rFonts w:eastAsia="標楷體"/>
          <w:b/>
          <w:bCs/>
          <w:kern w:val="0"/>
          <w:sz w:val="28"/>
          <w:szCs w:val="20"/>
        </w:rPr>
        <w:t>106</w:t>
      </w:r>
      <w:r w:rsidR="00031355" w:rsidRPr="00AE0D77">
        <w:rPr>
          <w:rFonts w:eastAsia="標楷體"/>
          <w:b/>
          <w:bCs/>
          <w:kern w:val="0"/>
          <w:sz w:val="28"/>
          <w:szCs w:val="20"/>
        </w:rPr>
        <w:t>年</w:t>
      </w:r>
      <w:r w:rsidR="00031355" w:rsidRPr="00AE0D77">
        <w:rPr>
          <w:rFonts w:eastAsia="標楷體"/>
          <w:b/>
          <w:bCs/>
          <w:kern w:val="0"/>
          <w:sz w:val="28"/>
          <w:szCs w:val="20"/>
        </w:rPr>
        <w:t>5</w:t>
      </w:r>
      <w:r w:rsidR="00031355" w:rsidRPr="00AE0D77">
        <w:rPr>
          <w:rFonts w:eastAsia="標楷體"/>
          <w:b/>
          <w:bCs/>
          <w:kern w:val="0"/>
          <w:sz w:val="28"/>
          <w:szCs w:val="20"/>
        </w:rPr>
        <w:t>月零售業營業額增加</w:t>
      </w:r>
      <w:r w:rsidR="00031355" w:rsidRPr="00AE0D77">
        <w:rPr>
          <w:rFonts w:eastAsia="標楷體"/>
          <w:b/>
          <w:bCs/>
          <w:kern w:val="0"/>
          <w:sz w:val="28"/>
          <w:szCs w:val="20"/>
        </w:rPr>
        <w:t>1.0%</w:t>
      </w:r>
    </w:p>
    <w:p w:rsidR="00F67965" w:rsidRPr="00AE0D77" w:rsidRDefault="00031355" w:rsidP="00EE0E52">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月零售業營業額</w:t>
      </w:r>
      <w:r w:rsidRPr="00AE0D77">
        <w:rPr>
          <w:rFonts w:eastAsia="標楷體"/>
          <w:kern w:val="0"/>
          <w:sz w:val="28"/>
          <w:szCs w:val="20"/>
        </w:rPr>
        <w:t>3,385</w:t>
      </w:r>
      <w:r w:rsidRPr="00AE0D77">
        <w:rPr>
          <w:rFonts w:eastAsia="標楷體"/>
          <w:kern w:val="0"/>
          <w:sz w:val="28"/>
          <w:szCs w:val="20"/>
        </w:rPr>
        <w:t>億元，較上年同月增加</w:t>
      </w:r>
      <w:r w:rsidRPr="00AE0D77">
        <w:rPr>
          <w:rFonts w:eastAsia="標楷體"/>
          <w:kern w:val="0"/>
          <w:sz w:val="28"/>
          <w:szCs w:val="20"/>
        </w:rPr>
        <w:t>1.0%</w:t>
      </w:r>
      <w:r w:rsidRPr="00AE0D77">
        <w:rPr>
          <w:rFonts w:eastAsia="標楷體"/>
          <w:kern w:val="0"/>
          <w:sz w:val="28"/>
          <w:szCs w:val="20"/>
        </w:rPr>
        <w:t>，其中無店面零售業年增</w:t>
      </w:r>
      <w:r w:rsidRPr="00AE0D77">
        <w:rPr>
          <w:rFonts w:eastAsia="標楷體"/>
          <w:kern w:val="0"/>
          <w:sz w:val="28"/>
          <w:szCs w:val="20"/>
        </w:rPr>
        <w:t>11.5%</w:t>
      </w:r>
      <w:r w:rsidRPr="00AE0D77">
        <w:rPr>
          <w:rFonts w:eastAsia="標楷體"/>
          <w:kern w:val="0"/>
          <w:sz w:val="28"/>
          <w:szCs w:val="20"/>
        </w:rPr>
        <w:t>，主因母親節及夏季商品熱賣；藥品及化粧品零售業年增</w:t>
      </w:r>
      <w:r w:rsidRPr="00AE0D77">
        <w:rPr>
          <w:rFonts w:eastAsia="標楷體"/>
          <w:kern w:val="0"/>
          <w:sz w:val="28"/>
          <w:szCs w:val="20"/>
        </w:rPr>
        <w:t>4.9%</w:t>
      </w:r>
      <w:r w:rsidRPr="00AE0D77">
        <w:rPr>
          <w:rFonts w:eastAsia="標楷體"/>
          <w:kern w:val="0"/>
          <w:sz w:val="28"/>
          <w:szCs w:val="20"/>
        </w:rPr>
        <w:t>，主因連鎖業者除擴展實體通路外，亦加強經營電子商務，挹注營收成長；燃料零售業因油價較去年同期上漲，年增</w:t>
      </w:r>
      <w:r w:rsidRPr="00AE0D77">
        <w:rPr>
          <w:rFonts w:eastAsia="標楷體"/>
          <w:kern w:val="0"/>
          <w:sz w:val="28"/>
          <w:szCs w:val="20"/>
        </w:rPr>
        <w:t>3.2%</w:t>
      </w:r>
      <w:r w:rsidRPr="00AE0D77">
        <w:rPr>
          <w:rFonts w:eastAsia="標楷體"/>
          <w:kern w:val="0"/>
          <w:sz w:val="28"/>
          <w:szCs w:val="20"/>
        </w:rPr>
        <w:t>；家庭器具及用品零售業則年減</w:t>
      </w:r>
      <w:r w:rsidRPr="00AE0D77">
        <w:rPr>
          <w:rFonts w:eastAsia="標楷體"/>
          <w:kern w:val="0"/>
          <w:sz w:val="28"/>
          <w:szCs w:val="20"/>
        </w:rPr>
        <w:t>5.1%</w:t>
      </w:r>
      <w:r w:rsidRPr="00AE0D77">
        <w:rPr>
          <w:rFonts w:eastAsia="標楷體"/>
          <w:kern w:val="0"/>
          <w:sz w:val="28"/>
          <w:szCs w:val="20"/>
        </w:rPr>
        <w:t>，主因陸客來</w:t>
      </w:r>
      <w:r w:rsidR="002E16A3" w:rsidRPr="00AE0D77">
        <w:rPr>
          <w:rFonts w:eastAsia="標楷體"/>
          <w:kern w:val="0"/>
          <w:sz w:val="28"/>
          <w:szCs w:val="20"/>
        </w:rPr>
        <w:t>臺</w:t>
      </w:r>
      <w:r w:rsidRPr="00AE0D77">
        <w:rPr>
          <w:rFonts w:eastAsia="標楷體"/>
          <w:kern w:val="0"/>
          <w:sz w:val="28"/>
          <w:szCs w:val="20"/>
        </w:rPr>
        <w:t>人數縮減，以及精品買氣下滑所致；資通訊及家電設備零售業年減</w:t>
      </w:r>
      <w:r w:rsidRPr="00AE0D77">
        <w:rPr>
          <w:rFonts w:eastAsia="標楷體"/>
          <w:kern w:val="0"/>
          <w:sz w:val="28"/>
          <w:szCs w:val="20"/>
        </w:rPr>
        <w:t>4.8%</w:t>
      </w:r>
      <w:r w:rsidRPr="00AE0D77">
        <w:rPr>
          <w:rFonts w:eastAsia="標楷體"/>
          <w:kern w:val="0"/>
          <w:sz w:val="28"/>
          <w:szCs w:val="20"/>
        </w:rPr>
        <w:t>，主因異業間競爭激烈，業者精簡門市，加上通訊商品買氣觀望所致。累計</w:t>
      </w:r>
      <w:r w:rsidRPr="00AE0D77">
        <w:rPr>
          <w:rFonts w:eastAsia="標楷體"/>
          <w:kern w:val="0"/>
          <w:sz w:val="28"/>
          <w:szCs w:val="20"/>
        </w:rPr>
        <w:t>1</w:t>
      </w:r>
      <w:r w:rsidRPr="00AE0D77">
        <w:rPr>
          <w:rFonts w:eastAsia="標楷體"/>
          <w:kern w:val="0"/>
          <w:sz w:val="28"/>
          <w:szCs w:val="20"/>
        </w:rPr>
        <w:t>至</w:t>
      </w:r>
      <w:r w:rsidRPr="00AE0D77">
        <w:rPr>
          <w:rFonts w:eastAsia="標楷體"/>
          <w:kern w:val="0"/>
          <w:sz w:val="28"/>
          <w:szCs w:val="20"/>
        </w:rPr>
        <w:t>5</w:t>
      </w:r>
      <w:r w:rsidRPr="00AE0D77">
        <w:rPr>
          <w:rFonts w:eastAsia="標楷體"/>
          <w:kern w:val="0"/>
          <w:sz w:val="28"/>
          <w:szCs w:val="20"/>
        </w:rPr>
        <w:t>月零售業營業額</w:t>
      </w:r>
      <w:r w:rsidRPr="00AE0D77">
        <w:rPr>
          <w:rFonts w:eastAsia="標楷體"/>
          <w:kern w:val="0"/>
          <w:sz w:val="28"/>
          <w:szCs w:val="20"/>
        </w:rPr>
        <w:t>16,745</w:t>
      </w:r>
      <w:r w:rsidRPr="00AE0D77">
        <w:rPr>
          <w:rFonts w:eastAsia="標楷體"/>
          <w:kern w:val="0"/>
          <w:sz w:val="28"/>
          <w:szCs w:val="20"/>
        </w:rPr>
        <w:t>億元，較上年同期減少</w:t>
      </w:r>
      <w:r w:rsidRPr="00AE0D77">
        <w:rPr>
          <w:rFonts w:eastAsia="標楷體"/>
          <w:kern w:val="0"/>
          <w:sz w:val="28"/>
          <w:szCs w:val="20"/>
        </w:rPr>
        <w:t>0.1%</w:t>
      </w:r>
      <w:r w:rsidR="00B34292" w:rsidRPr="00AE0D77">
        <w:rPr>
          <w:rFonts w:eastAsia="標楷體"/>
          <w:kern w:val="0"/>
          <w:sz w:val="28"/>
          <w:szCs w:val="20"/>
        </w:rPr>
        <w:t>。</w:t>
      </w:r>
    </w:p>
    <w:p w:rsidR="00521BCE" w:rsidRPr="00AE0D77" w:rsidRDefault="00F67965" w:rsidP="00F67965">
      <w:pPr>
        <w:snapToGrid w:val="0"/>
        <w:spacing w:beforeLines="100" w:before="360" w:afterLines="50" w:after="180" w:line="300" w:lineRule="auto"/>
        <w:ind w:right="-153"/>
        <w:jc w:val="center"/>
        <w:rPr>
          <w:rFonts w:eastAsia="標楷體"/>
        </w:rPr>
      </w:pPr>
      <w:r w:rsidRPr="00AE0D77">
        <w:rPr>
          <w:rFonts w:eastAsia="標楷體"/>
          <w:b/>
          <w:sz w:val="28"/>
        </w:rPr>
        <w:t>表</w:t>
      </w:r>
      <w:r w:rsidRPr="00AE0D77">
        <w:rPr>
          <w:rFonts w:eastAsia="標楷體"/>
          <w:b/>
          <w:sz w:val="28"/>
        </w:rPr>
        <w:t xml:space="preserve">2-3-3  </w:t>
      </w:r>
      <w:r w:rsidRPr="00AE0D77">
        <w:rPr>
          <w:rFonts w:eastAsia="標楷體"/>
          <w:b/>
          <w:sz w:val="28"/>
        </w:rPr>
        <w:t>零售業營業額變動概況</w:t>
      </w:r>
      <w:r w:rsidRPr="00AE0D77">
        <w:rPr>
          <w:rFonts w:eastAsia="標楷體"/>
        </w:rPr>
        <w:t xml:space="preserve"> </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031355" w:rsidRPr="00AE0D77" w:rsidTr="00031355">
        <w:tc>
          <w:tcPr>
            <w:tcW w:w="2722" w:type="dxa"/>
            <w:vMerge w:val="restart"/>
            <w:tcBorders>
              <w:top w:val="single" w:sz="4" w:space="0" w:color="auto"/>
              <w:left w:val="nil"/>
              <w:bottom w:val="single" w:sz="4" w:space="0" w:color="auto"/>
              <w:right w:val="single" w:sz="4" w:space="0" w:color="auto"/>
            </w:tcBorders>
            <w:vAlign w:val="center"/>
            <w:hideMark/>
          </w:tcPr>
          <w:p w:rsidR="00031355" w:rsidRPr="00AE0D77" w:rsidRDefault="00031355">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031355" w:rsidRPr="00AE0D77" w:rsidRDefault="00031355">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5</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031355" w:rsidRPr="00AE0D77" w:rsidRDefault="00031355">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031355" w:rsidRPr="00AE0D77" w:rsidRDefault="00031355">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1~5</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031355" w:rsidRPr="00AE0D77" w:rsidRDefault="00031355">
            <w:pPr>
              <w:snapToGrid w:val="0"/>
              <w:spacing w:line="300" w:lineRule="exact"/>
              <w:ind w:left="28" w:right="-142"/>
              <w:jc w:val="center"/>
              <w:rPr>
                <w:rFonts w:eastAsia="標楷體"/>
              </w:rPr>
            </w:pPr>
          </w:p>
        </w:tc>
      </w:tr>
      <w:tr w:rsidR="00031355" w:rsidRPr="00AE0D77" w:rsidTr="00031355">
        <w:tc>
          <w:tcPr>
            <w:tcW w:w="0" w:type="auto"/>
            <w:vMerge/>
            <w:tcBorders>
              <w:top w:val="sing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rPr>
            </w:pPr>
          </w:p>
        </w:tc>
        <w:tc>
          <w:tcPr>
            <w:tcW w:w="1559" w:type="dxa"/>
            <w:tcBorders>
              <w:top w:val="nil"/>
              <w:left w:val="nil"/>
              <w:bottom w:val="single" w:sz="4" w:space="0" w:color="auto"/>
              <w:right w:val="single" w:sz="4" w:space="0" w:color="auto"/>
            </w:tcBorders>
            <w:hideMark/>
          </w:tcPr>
          <w:p w:rsidR="00031355" w:rsidRPr="00AE0D77" w:rsidRDefault="00031355">
            <w:pPr>
              <w:snapToGrid w:val="0"/>
              <w:spacing w:line="300" w:lineRule="exact"/>
              <w:ind w:left="28"/>
              <w:jc w:val="center"/>
              <w:rPr>
                <w:rFonts w:eastAsia="標楷體"/>
              </w:rPr>
            </w:pPr>
            <w:r w:rsidRPr="00AE0D77">
              <w:rPr>
                <w:rFonts w:eastAsia="標楷體"/>
              </w:rPr>
              <w:t>營業額</w:t>
            </w:r>
          </w:p>
          <w:p w:rsidR="00031355" w:rsidRPr="00AE0D77" w:rsidRDefault="00031355">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031355" w:rsidRPr="00AE0D77" w:rsidRDefault="00031355">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031355" w:rsidRPr="00AE0D77" w:rsidRDefault="00031355">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031355" w:rsidRPr="00AE0D77" w:rsidRDefault="00031355">
            <w:pPr>
              <w:snapToGrid w:val="0"/>
              <w:spacing w:line="300" w:lineRule="exact"/>
              <w:ind w:left="28"/>
              <w:jc w:val="center"/>
              <w:rPr>
                <w:rFonts w:eastAsia="標楷體"/>
              </w:rPr>
            </w:pPr>
            <w:r w:rsidRPr="00AE0D77">
              <w:rPr>
                <w:rFonts w:eastAsia="標楷體"/>
              </w:rPr>
              <w:t>營業額</w:t>
            </w:r>
          </w:p>
          <w:p w:rsidR="00031355" w:rsidRPr="00AE0D77" w:rsidRDefault="00031355">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031355" w:rsidRPr="00AE0D77" w:rsidRDefault="00031355">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031355" w:rsidRPr="00AE0D77" w:rsidRDefault="00031355">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031355" w:rsidRPr="00AE0D77" w:rsidTr="00031355">
        <w:tc>
          <w:tcPr>
            <w:tcW w:w="2722" w:type="dxa"/>
            <w:tcBorders>
              <w:top w:val="single" w:sz="4" w:space="0" w:color="auto"/>
              <w:left w:val="nil"/>
              <w:bottom w:val="nil"/>
              <w:right w:val="single" w:sz="4" w:space="0" w:color="auto"/>
            </w:tcBorders>
            <w:hideMark/>
          </w:tcPr>
          <w:p w:rsidR="00031355" w:rsidRPr="00AE0D77" w:rsidRDefault="00031355">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031355" w:rsidRPr="00AE0D77" w:rsidRDefault="00031355" w:rsidP="00031355">
            <w:pPr>
              <w:spacing w:beforeLines="10" w:before="36"/>
              <w:ind w:rightChars="106" w:right="254"/>
              <w:jc w:val="right"/>
              <w:rPr>
                <w:rFonts w:eastAsia="標楷體"/>
              </w:rPr>
            </w:pPr>
            <w:r w:rsidRPr="00AE0D77">
              <w:rPr>
                <w:rFonts w:eastAsia="標楷體"/>
              </w:rPr>
              <w:t>3,385</w:t>
            </w:r>
          </w:p>
        </w:tc>
        <w:tc>
          <w:tcPr>
            <w:tcW w:w="1559" w:type="dxa"/>
            <w:tcBorders>
              <w:top w:val="single" w:sz="4" w:space="0" w:color="auto"/>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1.0</w:t>
            </w:r>
          </w:p>
        </w:tc>
        <w:tc>
          <w:tcPr>
            <w:tcW w:w="1559" w:type="dxa"/>
            <w:tcBorders>
              <w:top w:val="single" w:sz="4" w:space="0" w:color="auto"/>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16,745</w:t>
            </w:r>
          </w:p>
        </w:tc>
        <w:tc>
          <w:tcPr>
            <w:tcW w:w="1560" w:type="dxa"/>
            <w:tcBorders>
              <w:top w:val="single" w:sz="4" w:space="0" w:color="auto"/>
              <w:left w:val="nil"/>
              <w:bottom w:val="nil"/>
              <w:right w:val="nil"/>
            </w:tcBorders>
            <w:hideMark/>
          </w:tcPr>
          <w:p w:rsidR="00031355" w:rsidRPr="00AE0D77" w:rsidRDefault="00031355">
            <w:pPr>
              <w:ind w:rightChars="224" w:right="538"/>
              <w:jc w:val="right"/>
              <w:rPr>
                <w:rFonts w:eastAsia="標楷體"/>
              </w:rPr>
            </w:pPr>
            <w:r w:rsidRPr="00AE0D77">
              <w:rPr>
                <w:rFonts w:eastAsia="標楷體"/>
              </w:rPr>
              <w:t>-0.1</w:t>
            </w:r>
          </w:p>
        </w:tc>
      </w:tr>
      <w:tr w:rsidR="00031355" w:rsidRPr="00AE0D77" w:rsidTr="00031355">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rPr>
                <w:rFonts w:eastAsia="標楷體"/>
              </w:rPr>
            </w:pPr>
            <w:r w:rsidRPr="00AE0D77">
              <w:rPr>
                <w:rFonts w:eastAsia="標楷體"/>
              </w:rPr>
              <w:t>綜合商品零售業</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1,019</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3.5</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4,940</w:t>
            </w:r>
          </w:p>
        </w:tc>
        <w:tc>
          <w:tcPr>
            <w:tcW w:w="1560" w:type="dxa"/>
            <w:hideMark/>
          </w:tcPr>
          <w:p w:rsidR="00031355" w:rsidRPr="00AE0D77" w:rsidRDefault="00031355">
            <w:pPr>
              <w:ind w:rightChars="224" w:right="538"/>
              <w:jc w:val="right"/>
              <w:rPr>
                <w:rFonts w:eastAsia="標楷體"/>
              </w:rPr>
            </w:pPr>
            <w:r w:rsidRPr="00AE0D77">
              <w:rPr>
                <w:rFonts w:eastAsia="標楷體"/>
              </w:rPr>
              <w:t>0.6</w:t>
            </w:r>
          </w:p>
        </w:tc>
      </w:tr>
      <w:tr w:rsidR="00031355" w:rsidRPr="00AE0D77" w:rsidTr="00031355">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firstLineChars="136" w:firstLine="326"/>
              <w:rPr>
                <w:rFonts w:eastAsia="標楷體"/>
              </w:rPr>
            </w:pPr>
            <w:r w:rsidRPr="00AE0D77">
              <w:rPr>
                <w:rFonts w:eastAsia="標楷體"/>
              </w:rPr>
              <w:t>百貨公司</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275</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4.8</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1,310</w:t>
            </w:r>
          </w:p>
        </w:tc>
        <w:tc>
          <w:tcPr>
            <w:tcW w:w="1560" w:type="dxa"/>
            <w:hideMark/>
          </w:tcPr>
          <w:p w:rsidR="00031355" w:rsidRPr="00AE0D77" w:rsidRDefault="00031355">
            <w:pPr>
              <w:ind w:rightChars="224" w:right="538"/>
              <w:jc w:val="right"/>
              <w:rPr>
                <w:rFonts w:eastAsia="標楷體"/>
              </w:rPr>
            </w:pPr>
            <w:r w:rsidRPr="00AE0D77">
              <w:rPr>
                <w:rFonts w:eastAsia="標楷體"/>
              </w:rPr>
              <w:t>-1.5</w:t>
            </w:r>
          </w:p>
        </w:tc>
      </w:tr>
      <w:tr w:rsidR="00031355" w:rsidRPr="00AE0D77" w:rsidTr="00031355">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firstLineChars="136" w:firstLine="326"/>
              <w:rPr>
                <w:rFonts w:eastAsia="標楷體"/>
              </w:rPr>
            </w:pPr>
            <w:r w:rsidRPr="00AE0D77">
              <w:rPr>
                <w:rFonts w:eastAsia="標楷體"/>
              </w:rPr>
              <w:t>超級市場</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168</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7.6</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827</w:t>
            </w:r>
          </w:p>
        </w:tc>
        <w:tc>
          <w:tcPr>
            <w:tcW w:w="1560" w:type="dxa"/>
            <w:hideMark/>
          </w:tcPr>
          <w:p w:rsidR="00031355" w:rsidRPr="00AE0D77" w:rsidRDefault="00031355">
            <w:pPr>
              <w:ind w:rightChars="224" w:right="538"/>
              <w:jc w:val="right"/>
              <w:rPr>
                <w:rFonts w:eastAsia="標楷體"/>
              </w:rPr>
            </w:pPr>
            <w:r w:rsidRPr="00AE0D77">
              <w:rPr>
                <w:rFonts w:eastAsia="標楷體"/>
              </w:rPr>
              <w:t>7.1</w:t>
            </w:r>
          </w:p>
        </w:tc>
      </w:tr>
      <w:tr w:rsidR="00031355" w:rsidRPr="00AE0D77" w:rsidTr="00031355">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firstLineChars="136" w:firstLine="326"/>
              <w:rPr>
                <w:rFonts w:eastAsia="標楷體"/>
              </w:rPr>
            </w:pPr>
            <w:r w:rsidRPr="00AE0D77">
              <w:rPr>
                <w:rFonts w:eastAsia="標楷體"/>
              </w:rPr>
              <w:t>便利商店</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277</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3.7</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1,289</w:t>
            </w:r>
          </w:p>
        </w:tc>
        <w:tc>
          <w:tcPr>
            <w:tcW w:w="1560" w:type="dxa"/>
            <w:hideMark/>
          </w:tcPr>
          <w:p w:rsidR="00031355" w:rsidRPr="00AE0D77" w:rsidRDefault="00031355">
            <w:pPr>
              <w:ind w:rightChars="224" w:right="538"/>
              <w:jc w:val="right"/>
              <w:rPr>
                <w:rFonts w:eastAsia="標楷體"/>
              </w:rPr>
            </w:pPr>
            <w:r w:rsidRPr="00AE0D77">
              <w:rPr>
                <w:rFonts w:eastAsia="標楷體"/>
              </w:rPr>
              <w:t>2.4</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firstLineChars="136" w:firstLine="326"/>
              <w:rPr>
                <w:rFonts w:eastAsia="標楷體"/>
              </w:rPr>
            </w:pPr>
            <w:r w:rsidRPr="00AE0D77">
              <w:rPr>
                <w:rFonts w:eastAsia="標楷體"/>
              </w:rPr>
              <w:t>量販店</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156</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4.4</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819</w:t>
            </w:r>
          </w:p>
        </w:tc>
        <w:tc>
          <w:tcPr>
            <w:tcW w:w="1560" w:type="dxa"/>
            <w:hideMark/>
          </w:tcPr>
          <w:p w:rsidR="00031355" w:rsidRPr="00AE0D77" w:rsidRDefault="00031355">
            <w:pPr>
              <w:ind w:rightChars="224" w:right="538"/>
              <w:jc w:val="right"/>
              <w:rPr>
                <w:rFonts w:eastAsia="標楷體"/>
              </w:rPr>
            </w:pPr>
            <w:r w:rsidRPr="00AE0D77">
              <w:rPr>
                <w:rFonts w:eastAsia="標楷體"/>
              </w:rPr>
              <w:t>1.1</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firstLineChars="136" w:firstLine="326"/>
              <w:rPr>
                <w:rFonts w:eastAsia="標楷體"/>
              </w:rPr>
            </w:pPr>
            <w:r w:rsidRPr="00AE0D77">
              <w:rPr>
                <w:rFonts w:eastAsia="標楷體"/>
              </w:rPr>
              <w:t>其他</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143</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-4.2</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695</w:t>
            </w:r>
          </w:p>
        </w:tc>
        <w:tc>
          <w:tcPr>
            <w:tcW w:w="1560" w:type="dxa"/>
            <w:hideMark/>
          </w:tcPr>
          <w:p w:rsidR="00031355" w:rsidRPr="00AE0D77" w:rsidRDefault="00031355">
            <w:pPr>
              <w:ind w:rightChars="224" w:right="538"/>
              <w:jc w:val="right"/>
              <w:rPr>
                <w:rFonts w:eastAsia="標楷體"/>
              </w:rPr>
            </w:pPr>
            <w:r w:rsidRPr="00AE0D77">
              <w:rPr>
                <w:rFonts w:eastAsia="標楷體"/>
              </w:rPr>
              <w:t>-5.8</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rPr>
                <w:rFonts w:eastAsia="標楷體"/>
              </w:rPr>
            </w:pPr>
            <w:r w:rsidRPr="00AE0D77">
              <w:rPr>
                <w:rFonts w:eastAsia="標楷體"/>
              </w:rPr>
              <w:t>汽機車業</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510</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0.1</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2,551</w:t>
            </w:r>
          </w:p>
        </w:tc>
        <w:tc>
          <w:tcPr>
            <w:tcW w:w="1560" w:type="dxa"/>
            <w:hideMark/>
          </w:tcPr>
          <w:p w:rsidR="00031355" w:rsidRPr="00AE0D77" w:rsidRDefault="00031355">
            <w:pPr>
              <w:ind w:rightChars="224" w:right="538"/>
              <w:jc w:val="right"/>
              <w:rPr>
                <w:rFonts w:eastAsia="標楷體"/>
              </w:rPr>
            </w:pPr>
            <w:r w:rsidRPr="00AE0D77">
              <w:rPr>
                <w:rFonts w:eastAsia="標楷體"/>
              </w:rPr>
              <w:t>3.1</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rPr>
                <w:rFonts w:eastAsia="標楷體"/>
              </w:rPr>
            </w:pPr>
            <w:r w:rsidRPr="00AE0D77">
              <w:rPr>
                <w:rFonts w:eastAsia="標楷體"/>
              </w:rPr>
              <w:t>食品、飲料及菸草業</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388</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-0.1</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1,952</w:t>
            </w:r>
          </w:p>
        </w:tc>
        <w:tc>
          <w:tcPr>
            <w:tcW w:w="1560" w:type="dxa"/>
            <w:hideMark/>
          </w:tcPr>
          <w:p w:rsidR="00031355" w:rsidRPr="00AE0D77" w:rsidRDefault="00031355">
            <w:pPr>
              <w:ind w:rightChars="224" w:right="538"/>
              <w:jc w:val="right"/>
              <w:rPr>
                <w:rFonts w:eastAsia="標楷體"/>
              </w:rPr>
            </w:pPr>
            <w:r w:rsidRPr="00AE0D77">
              <w:rPr>
                <w:rFonts w:eastAsia="標楷體"/>
              </w:rPr>
              <w:t>-2.4</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rPr>
                <w:rFonts w:eastAsia="標楷體"/>
              </w:rPr>
            </w:pPr>
            <w:r w:rsidRPr="00AE0D77">
              <w:rPr>
                <w:rFonts w:eastAsia="標楷體"/>
              </w:rPr>
              <w:t>資通訊及家電設備業</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268</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-4.8</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1,382</w:t>
            </w:r>
          </w:p>
        </w:tc>
        <w:tc>
          <w:tcPr>
            <w:tcW w:w="1560" w:type="dxa"/>
            <w:hideMark/>
          </w:tcPr>
          <w:p w:rsidR="00031355" w:rsidRPr="00AE0D77" w:rsidRDefault="00031355">
            <w:pPr>
              <w:ind w:rightChars="224" w:right="538"/>
              <w:jc w:val="right"/>
              <w:rPr>
                <w:rFonts w:eastAsia="標楷體"/>
              </w:rPr>
            </w:pPr>
            <w:r w:rsidRPr="00AE0D77">
              <w:rPr>
                <w:rFonts w:eastAsia="標楷體"/>
              </w:rPr>
              <w:t>-6.6</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rPr>
                <w:rFonts w:eastAsia="標楷體"/>
              </w:rPr>
            </w:pPr>
            <w:r w:rsidRPr="00AE0D77">
              <w:rPr>
                <w:rFonts w:eastAsia="標楷體"/>
              </w:rPr>
              <w:t>家庭器具及用品業</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228</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-5.1</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1,115</w:t>
            </w:r>
          </w:p>
        </w:tc>
        <w:tc>
          <w:tcPr>
            <w:tcW w:w="1560" w:type="dxa"/>
            <w:hideMark/>
          </w:tcPr>
          <w:p w:rsidR="00031355" w:rsidRPr="00AE0D77" w:rsidRDefault="00031355">
            <w:pPr>
              <w:ind w:rightChars="224" w:right="538"/>
              <w:jc w:val="right"/>
              <w:rPr>
                <w:rFonts w:eastAsia="標楷體"/>
              </w:rPr>
            </w:pPr>
            <w:r w:rsidRPr="00AE0D77">
              <w:rPr>
                <w:rFonts w:eastAsia="標楷體"/>
              </w:rPr>
              <w:t>-8.5</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rPr>
                <w:rFonts w:eastAsia="標楷體"/>
              </w:rPr>
            </w:pPr>
            <w:r w:rsidRPr="00AE0D77">
              <w:rPr>
                <w:rFonts w:eastAsia="標楷體"/>
              </w:rPr>
              <w:t>無店面零售業</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207</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11.5</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995</w:t>
            </w:r>
          </w:p>
        </w:tc>
        <w:tc>
          <w:tcPr>
            <w:tcW w:w="1560" w:type="dxa"/>
            <w:hideMark/>
          </w:tcPr>
          <w:p w:rsidR="00031355" w:rsidRPr="00AE0D77" w:rsidRDefault="00031355">
            <w:pPr>
              <w:ind w:rightChars="224" w:right="538"/>
              <w:jc w:val="right"/>
              <w:rPr>
                <w:rFonts w:eastAsia="標楷體"/>
              </w:rPr>
            </w:pPr>
            <w:r w:rsidRPr="00AE0D77">
              <w:rPr>
                <w:rFonts w:eastAsia="標楷體"/>
              </w:rPr>
              <w:t>5.2</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snapToGrid w:val="0"/>
              <w:spacing w:line="320" w:lineRule="exact"/>
              <w:ind w:right="-142" w:firstLineChars="100" w:firstLine="240"/>
              <w:rPr>
                <w:rFonts w:eastAsia="標楷體"/>
                <w:sz w:val="22"/>
                <w:szCs w:val="22"/>
              </w:rPr>
            </w:pPr>
            <w:r w:rsidRPr="00AE0D77">
              <w:rPr>
                <w:rFonts w:eastAsia="標楷體"/>
              </w:rPr>
              <w:t>燃料零售業</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195</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3.2</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967</w:t>
            </w:r>
          </w:p>
        </w:tc>
        <w:tc>
          <w:tcPr>
            <w:tcW w:w="1560" w:type="dxa"/>
            <w:hideMark/>
          </w:tcPr>
          <w:p w:rsidR="00031355" w:rsidRPr="00AE0D77" w:rsidRDefault="00031355">
            <w:pPr>
              <w:ind w:rightChars="224" w:right="538"/>
              <w:jc w:val="right"/>
              <w:rPr>
                <w:rFonts w:eastAsia="標楷體"/>
              </w:rPr>
            </w:pPr>
            <w:r w:rsidRPr="00AE0D77">
              <w:rPr>
                <w:rFonts w:eastAsia="標楷體"/>
              </w:rPr>
              <w:t>16.0</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autoSpaceDE w:val="0"/>
              <w:spacing w:line="300" w:lineRule="exact"/>
              <w:ind w:leftChars="100" w:left="240"/>
              <w:rPr>
                <w:rFonts w:eastAsia="標楷體"/>
              </w:rPr>
            </w:pPr>
            <w:r w:rsidRPr="00AE0D77">
              <w:rPr>
                <w:rFonts w:eastAsia="標楷體"/>
                <w:szCs w:val="22"/>
              </w:rPr>
              <w:t>藥品及化粧品業</w:t>
            </w:r>
          </w:p>
        </w:tc>
        <w:tc>
          <w:tcPr>
            <w:tcW w:w="1559" w:type="dxa"/>
            <w:hideMark/>
          </w:tcPr>
          <w:p w:rsidR="00031355" w:rsidRPr="00AE0D77" w:rsidRDefault="00031355" w:rsidP="00031355">
            <w:pPr>
              <w:spacing w:beforeLines="10" w:before="36"/>
              <w:ind w:rightChars="106" w:right="254"/>
              <w:jc w:val="right"/>
              <w:rPr>
                <w:rFonts w:eastAsia="標楷體"/>
              </w:rPr>
            </w:pPr>
            <w:r w:rsidRPr="00AE0D77">
              <w:rPr>
                <w:rFonts w:eastAsia="標楷體"/>
              </w:rPr>
              <w:t>165</w:t>
            </w:r>
          </w:p>
        </w:tc>
        <w:tc>
          <w:tcPr>
            <w:tcW w:w="1559" w:type="dxa"/>
            <w:tcBorders>
              <w:top w:val="nil"/>
              <w:left w:val="nil"/>
              <w:bottom w:val="nil"/>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4.9</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808</w:t>
            </w:r>
          </w:p>
        </w:tc>
        <w:tc>
          <w:tcPr>
            <w:tcW w:w="1560" w:type="dxa"/>
            <w:hideMark/>
          </w:tcPr>
          <w:p w:rsidR="00031355" w:rsidRPr="00AE0D77" w:rsidRDefault="00031355">
            <w:pPr>
              <w:ind w:rightChars="224" w:right="538"/>
              <w:jc w:val="right"/>
              <w:rPr>
                <w:rFonts w:eastAsia="標楷體"/>
              </w:rPr>
            </w:pPr>
            <w:r w:rsidRPr="00AE0D77">
              <w:rPr>
                <w:rFonts w:eastAsia="標楷體"/>
              </w:rPr>
              <w:t>3.5</w:t>
            </w:r>
          </w:p>
        </w:tc>
      </w:tr>
      <w:tr w:rsidR="00031355" w:rsidRPr="00AE0D77" w:rsidTr="00031355">
        <w:trPr>
          <w:trHeight w:val="80"/>
        </w:trPr>
        <w:tc>
          <w:tcPr>
            <w:tcW w:w="2722" w:type="dxa"/>
            <w:tcBorders>
              <w:top w:val="nil"/>
              <w:left w:val="nil"/>
              <w:bottom w:val="single" w:sz="4" w:space="0" w:color="auto"/>
              <w:right w:val="single" w:sz="4" w:space="0" w:color="auto"/>
            </w:tcBorders>
            <w:hideMark/>
          </w:tcPr>
          <w:p w:rsidR="00031355" w:rsidRPr="00AE0D77" w:rsidRDefault="00031355">
            <w:pPr>
              <w:autoSpaceDE w:val="0"/>
              <w:spacing w:line="300" w:lineRule="exact"/>
              <w:ind w:leftChars="100" w:left="240"/>
              <w:rPr>
                <w:rFonts w:eastAsia="標楷體"/>
              </w:rPr>
            </w:pPr>
            <w:r w:rsidRPr="00AE0D77">
              <w:rPr>
                <w:rFonts w:eastAsia="標楷體"/>
              </w:rPr>
              <w:t>其他零售業</w:t>
            </w:r>
            <w:r w:rsidRPr="00AE0D77">
              <w:rPr>
                <w:rFonts w:eastAsia="標楷體"/>
              </w:rPr>
              <w:t>(</w:t>
            </w:r>
            <w:r w:rsidRPr="00AE0D77">
              <w:rPr>
                <w:rFonts w:eastAsia="標楷體"/>
              </w:rPr>
              <w:t>註</w:t>
            </w:r>
            <w:r w:rsidRPr="00AE0D77">
              <w:rPr>
                <w:rFonts w:eastAsia="標楷體"/>
              </w:rPr>
              <w:t>)</w:t>
            </w:r>
          </w:p>
        </w:tc>
        <w:tc>
          <w:tcPr>
            <w:tcW w:w="1559" w:type="dxa"/>
            <w:tcBorders>
              <w:top w:val="nil"/>
              <w:left w:val="nil"/>
              <w:bottom w:val="single" w:sz="4" w:space="0" w:color="auto"/>
              <w:right w:val="nil"/>
            </w:tcBorders>
            <w:hideMark/>
          </w:tcPr>
          <w:p w:rsidR="00031355" w:rsidRPr="00AE0D77" w:rsidRDefault="00031355" w:rsidP="00031355">
            <w:pPr>
              <w:spacing w:beforeLines="10" w:before="36"/>
              <w:ind w:rightChars="106" w:right="254"/>
              <w:jc w:val="right"/>
              <w:rPr>
                <w:rFonts w:eastAsia="標楷體"/>
              </w:rPr>
            </w:pPr>
            <w:r w:rsidRPr="00AE0D77">
              <w:rPr>
                <w:rFonts w:eastAsia="標楷體"/>
              </w:rPr>
              <w:t>404</w:t>
            </w:r>
          </w:p>
        </w:tc>
        <w:tc>
          <w:tcPr>
            <w:tcW w:w="1559" w:type="dxa"/>
            <w:tcBorders>
              <w:top w:val="nil"/>
              <w:left w:val="nil"/>
              <w:bottom w:val="single" w:sz="4" w:space="0" w:color="auto"/>
              <w:right w:val="double" w:sz="4" w:space="0" w:color="auto"/>
            </w:tcBorders>
            <w:hideMark/>
          </w:tcPr>
          <w:p w:rsidR="00031355" w:rsidRPr="00AE0D77" w:rsidRDefault="00031355" w:rsidP="00031355">
            <w:pPr>
              <w:spacing w:beforeLines="10" w:before="36"/>
              <w:ind w:rightChars="224" w:right="538"/>
              <w:jc w:val="right"/>
              <w:rPr>
                <w:rFonts w:eastAsia="標楷體"/>
              </w:rPr>
            </w:pPr>
            <w:r w:rsidRPr="00AE0D77">
              <w:rPr>
                <w:rFonts w:eastAsia="標楷體"/>
              </w:rPr>
              <w:t>-2.4</w:t>
            </w:r>
          </w:p>
        </w:tc>
        <w:tc>
          <w:tcPr>
            <w:tcW w:w="1559" w:type="dxa"/>
            <w:tcBorders>
              <w:top w:val="nil"/>
              <w:left w:val="double" w:sz="4" w:space="0" w:color="auto"/>
              <w:bottom w:val="single" w:sz="4" w:space="0" w:color="auto"/>
              <w:right w:val="nil"/>
            </w:tcBorders>
            <w:hideMark/>
          </w:tcPr>
          <w:p w:rsidR="00031355" w:rsidRPr="00AE0D77" w:rsidRDefault="00031355">
            <w:pPr>
              <w:ind w:rightChars="165" w:right="396"/>
              <w:jc w:val="right"/>
              <w:rPr>
                <w:rFonts w:eastAsia="標楷體"/>
              </w:rPr>
            </w:pPr>
            <w:r w:rsidRPr="00AE0D77">
              <w:rPr>
                <w:rFonts w:eastAsia="標楷體"/>
              </w:rPr>
              <w:t>1,995</w:t>
            </w:r>
          </w:p>
        </w:tc>
        <w:tc>
          <w:tcPr>
            <w:tcW w:w="1560" w:type="dxa"/>
            <w:tcBorders>
              <w:top w:val="nil"/>
              <w:left w:val="nil"/>
              <w:bottom w:val="single" w:sz="4" w:space="0" w:color="auto"/>
              <w:right w:val="nil"/>
            </w:tcBorders>
            <w:hideMark/>
          </w:tcPr>
          <w:p w:rsidR="00031355" w:rsidRPr="00AE0D77" w:rsidRDefault="00031355">
            <w:pPr>
              <w:ind w:rightChars="224" w:right="538"/>
              <w:jc w:val="right"/>
              <w:rPr>
                <w:rFonts w:eastAsia="標楷體"/>
              </w:rPr>
            </w:pPr>
            <w:r w:rsidRPr="00AE0D77">
              <w:rPr>
                <w:rFonts w:eastAsia="標楷體"/>
              </w:rPr>
              <w:t>-4.0</w:t>
            </w:r>
          </w:p>
        </w:tc>
      </w:tr>
    </w:tbl>
    <w:p w:rsidR="00F67965" w:rsidRPr="00AE0D77" w:rsidRDefault="004770CC" w:rsidP="00F67965">
      <w:pPr>
        <w:snapToGrid w:val="0"/>
        <w:spacing w:line="320" w:lineRule="exact"/>
        <w:ind w:right="-142"/>
        <w:jc w:val="both"/>
        <w:rPr>
          <w:rFonts w:eastAsia="標楷體"/>
          <w:sz w:val="22"/>
          <w:szCs w:val="22"/>
        </w:rPr>
      </w:pPr>
      <w:r w:rsidRPr="00AE0D77">
        <w:rPr>
          <w:rFonts w:eastAsia="標楷體"/>
          <w:bCs/>
          <w:sz w:val="22"/>
          <w:szCs w:val="22"/>
        </w:rPr>
        <w:t>註：其他零售業包含</w:t>
      </w:r>
      <w:r w:rsidRPr="00AE0D77">
        <w:rPr>
          <w:rFonts w:eastAsia="標楷體"/>
          <w:sz w:val="22"/>
          <w:szCs w:val="22"/>
        </w:rPr>
        <w:t>布疋及服飾品業、建材零售業等</w:t>
      </w:r>
      <w:r w:rsidRPr="00AE0D77">
        <w:rPr>
          <w:rFonts w:eastAsia="標楷體"/>
          <w:sz w:val="22"/>
          <w:szCs w:val="22"/>
        </w:rPr>
        <w:t>4</w:t>
      </w:r>
      <w:r w:rsidRPr="00AE0D77">
        <w:rPr>
          <w:rFonts w:eastAsia="標楷體"/>
          <w:sz w:val="22"/>
          <w:szCs w:val="22"/>
        </w:rPr>
        <w:t>項中業別。</w:t>
      </w:r>
    </w:p>
    <w:p w:rsidR="00F67965" w:rsidRPr="00AE0D77" w:rsidRDefault="00F67965" w:rsidP="00FB0CC0">
      <w:pPr>
        <w:snapToGrid w:val="0"/>
        <w:spacing w:line="320" w:lineRule="exact"/>
        <w:ind w:right="-142"/>
        <w:rPr>
          <w:rFonts w:eastAsia="標楷體"/>
        </w:rPr>
      </w:pPr>
      <w:r w:rsidRPr="00AE0D77">
        <w:rPr>
          <w:rFonts w:eastAsia="標楷體"/>
          <w:sz w:val="22"/>
          <w:szCs w:val="22"/>
        </w:rPr>
        <w:t>資料來源：經濟部統計處。</w:t>
      </w:r>
    </w:p>
    <w:p w:rsidR="00C5241D" w:rsidRDefault="00C5241D">
      <w:pPr>
        <w:widowControl/>
        <w:rPr>
          <w:rFonts w:eastAsia="標楷體"/>
          <w:kern w:val="0"/>
          <w:sz w:val="28"/>
          <w:szCs w:val="20"/>
        </w:rPr>
      </w:pPr>
      <w:r>
        <w:rPr>
          <w:rFonts w:eastAsia="標楷體"/>
          <w:kern w:val="0"/>
          <w:sz w:val="28"/>
          <w:szCs w:val="20"/>
        </w:rPr>
        <w:br w:type="page"/>
      </w:r>
    </w:p>
    <w:p w:rsidR="00F67965" w:rsidRPr="00AE0D77" w:rsidRDefault="00031355" w:rsidP="00EE0E52">
      <w:pPr>
        <w:widowControl/>
        <w:topLinePunct/>
        <w:snapToGrid w:val="0"/>
        <w:spacing w:beforeLines="100" w:before="360" w:line="300" w:lineRule="auto"/>
        <w:ind w:rightChars="-59" w:right="-142" w:firstLineChars="175" w:firstLine="490"/>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月綜合商品零售業營業額</w:t>
      </w:r>
      <w:r w:rsidRPr="00AE0D77">
        <w:rPr>
          <w:rFonts w:eastAsia="標楷體"/>
          <w:kern w:val="0"/>
          <w:sz w:val="28"/>
          <w:szCs w:val="20"/>
        </w:rPr>
        <w:t>1,</w:t>
      </w:r>
      <w:r w:rsidR="00D50361" w:rsidRPr="00AE0D77">
        <w:rPr>
          <w:rFonts w:eastAsia="標楷體"/>
          <w:kern w:val="0"/>
          <w:sz w:val="28"/>
          <w:szCs w:val="20"/>
        </w:rPr>
        <w:t>019</w:t>
      </w:r>
      <w:r w:rsidRPr="00AE0D77">
        <w:rPr>
          <w:rFonts w:eastAsia="標楷體"/>
          <w:kern w:val="0"/>
          <w:sz w:val="28"/>
          <w:szCs w:val="20"/>
        </w:rPr>
        <w:t>億元，較上年同月增加</w:t>
      </w:r>
      <w:r w:rsidRPr="00AE0D77">
        <w:rPr>
          <w:rFonts w:eastAsia="標楷體"/>
          <w:kern w:val="0"/>
          <w:sz w:val="28"/>
          <w:szCs w:val="20"/>
        </w:rPr>
        <w:t>3.5%</w:t>
      </w:r>
      <w:r w:rsidRPr="00AE0D77">
        <w:rPr>
          <w:rFonts w:eastAsia="標楷體"/>
          <w:kern w:val="0"/>
          <w:sz w:val="28"/>
          <w:szCs w:val="20"/>
        </w:rPr>
        <w:t>，其中百貨公司因母親節促銷檔期較長及餐飲美食進駐，年增</w:t>
      </w:r>
      <w:r w:rsidRPr="00AE0D77">
        <w:rPr>
          <w:rFonts w:eastAsia="標楷體"/>
          <w:kern w:val="0"/>
          <w:sz w:val="28"/>
          <w:szCs w:val="20"/>
        </w:rPr>
        <w:t>4.8%</w:t>
      </w:r>
      <w:r w:rsidRPr="00AE0D77">
        <w:rPr>
          <w:rFonts w:eastAsia="標楷體"/>
          <w:kern w:val="0"/>
          <w:sz w:val="28"/>
          <w:szCs w:val="20"/>
        </w:rPr>
        <w:t>；超級市場及量販店受惠展店效應，營收分別年增</w:t>
      </w:r>
      <w:r w:rsidRPr="00AE0D77">
        <w:rPr>
          <w:rFonts w:eastAsia="標楷體"/>
          <w:kern w:val="0"/>
          <w:sz w:val="28"/>
          <w:szCs w:val="20"/>
        </w:rPr>
        <w:t>7.6%</w:t>
      </w:r>
      <w:r w:rsidRPr="00AE0D77">
        <w:rPr>
          <w:rFonts w:eastAsia="標楷體"/>
          <w:kern w:val="0"/>
          <w:sz w:val="28"/>
          <w:szCs w:val="20"/>
        </w:rPr>
        <w:t>及</w:t>
      </w:r>
      <w:r w:rsidRPr="00AE0D77">
        <w:rPr>
          <w:rFonts w:eastAsia="標楷體"/>
          <w:kern w:val="0"/>
          <w:sz w:val="28"/>
          <w:szCs w:val="20"/>
        </w:rPr>
        <w:t>4.4%</w:t>
      </w:r>
      <w:r w:rsidR="00C5241D">
        <w:rPr>
          <w:rFonts w:eastAsia="標楷體"/>
          <w:kern w:val="0"/>
          <w:sz w:val="28"/>
          <w:szCs w:val="20"/>
        </w:rPr>
        <w:t>；便利商店因持續擴點，以及推出消暑新品及鮮食，</w:t>
      </w:r>
      <w:r w:rsidRPr="00AE0D77">
        <w:rPr>
          <w:rFonts w:eastAsia="標楷體"/>
          <w:kern w:val="0"/>
          <w:sz w:val="28"/>
          <w:szCs w:val="20"/>
        </w:rPr>
        <w:t>年增</w:t>
      </w:r>
      <w:r w:rsidRPr="00AE0D77">
        <w:rPr>
          <w:rFonts w:eastAsia="標楷體"/>
          <w:kern w:val="0"/>
          <w:sz w:val="28"/>
          <w:szCs w:val="20"/>
        </w:rPr>
        <w:t>3.7%</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Pr="00AE0D77">
        <w:rPr>
          <w:rFonts w:eastAsia="標楷體"/>
          <w:kern w:val="0"/>
          <w:sz w:val="28"/>
          <w:szCs w:val="20"/>
        </w:rPr>
        <w:t>5</w:t>
      </w:r>
      <w:r w:rsidR="00C5241D">
        <w:rPr>
          <w:rFonts w:eastAsia="標楷體"/>
          <w:kern w:val="0"/>
          <w:sz w:val="28"/>
          <w:szCs w:val="20"/>
        </w:rPr>
        <w:t>月綜合商品零售業營業額</w:t>
      </w:r>
      <w:r w:rsidRPr="00AE0D77">
        <w:rPr>
          <w:rFonts w:eastAsia="標楷體"/>
          <w:kern w:val="0"/>
          <w:sz w:val="28"/>
          <w:szCs w:val="20"/>
        </w:rPr>
        <w:t>4,940</w:t>
      </w:r>
      <w:r w:rsidRPr="00AE0D77">
        <w:rPr>
          <w:rFonts w:eastAsia="標楷體"/>
          <w:kern w:val="0"/>
          <w:sz w:val="28"/>
          <w:szCs w:val="20"/>
        </w:rPr>
        <w:t>億元，較上年同期增加</w:t>
      </w:r>
      <w:r w:rsidRPr="00AE0D77">
        <w:rPr>
          <w:rFonts w:eastAsia="標楷體"/>
          <w:kern w:val="0"/>
          <w:sz w:val="28"/>
          <w:szCs w:val="20"/>
        </w:rPr>
        <w:t>0.6%</w:t>
      </w:r>
      <w:r w:rsidRPr="00AE0D77">
        <w:rPr>
          <w:rFonts w:eastAsia="標楷體"/>
          <w:kern w:val="0"/>
          <w:sz w:val="28"/>
          <w:szCs w:val="20"/>
        </w:rPr>
        <w:t>。</w:t>
      </w:r>
    </w:p>
    <w:p w:rsidR="00F67965" w:rsidRPr="00AE0D77" w:rsidRDefault="00F67965" w:rsidP="00B34292">
      <w:pPr>
        <w:widowControl/>
        <w:spacing w:beforeLines="50" w:before="180"/>
        <w:rPr>
          <w:rFonts w:eastAsia="標楷體"/>
          <w:b/>
          <w:bCs/>
          <w:kern w:val="0"/>
          <w:sz w:val="28"/>
          <w:szCs w:val="20"/>
        </w:rPr>
      </w:pPr>
      <w:r w:rsidRPr="00AE0D77">
        <w:rPr>
          <w:rFonts w:eastAsia="標楷體"/>
          <w:b/>
          <w:bCs/>
          <w:kern w:val="0"/>
          <w:sz w:val="28"/>
          <w:szCs w:val="20"/>
        </w:rPr>
        <w:t>４、</w:t>
      </w:r>
      <w:r w:rsidR="00031355" w:rsidRPr="00AE0D77">
        <w:rPr>
          <w:rFonts w:eastAsia="標楷體"/>
          <w:b/>
          <w:bCs/>
          <w:kern w:val="0"/>
          <w:sz w:val="28"/>
          <w:szCs w:val="20"/>
        </w:rPr>
        <w:t>106</w:t>
      </w:r>
      <w:r w:rsidR="00031355" w:rsidRPr="00AE0D77">
        <w:rPr>
          <w:rFonts w:eastAsia="標楷體"/>
          <w:b/>
          <w:bCs/>
          <w:kern w:val="0"/>
          <w:sz w:val="28"/>
          <w:szCs w:val="20"/>
        </w:rPr>
        <w:t>年</w:t>
      </w:r>
      <w:r w:rsidR="00031355" w:rsidRPr="00AE0D77">
        <w:rPr>
          <w:rFonts w:eastAsia="標楷體"/>
          <w:b/>
          <w:bCs/>
          <w:kern w:val="0"/>
          <w:sz w:val="28"/>
          <w:szCs w:val="20"/>
        </w:rPr>
        <w:t>5</w:t>
      </w:r>
      <w:r w:rsidR="00031355" w:rsidRPr="00AE0D77">
        <w:rPr>
          <w:rFonts w:eastAsia="標楷體"/>
          <w:b/>
          <w:bCs/>
          <w:kern w:val="0"/>
          <w:sz w:val="28"/>
          <w:szCs w:val="20"/>
        </w:rPr>
        <w:t>月餐飲業營業額增加</w:t>
      </w:r>
      <w:r w:rsidR="00031355" w:rsidRPr="00AE0D77">
        <w:rPr>
          <w:rFonts w:eastAsia="標楷體"/>
          <w:b/>
          <w:bCs/>
          <w:kern w:val="0"/>
          <w:sz w:val="28"/>
          <w:szCs w:val="20"/>
        </w:rPr>
        <w:t>2.7%</w:t>
      </w:r>
    </w:p>
    <w:p w:rsidR="00F67965" w:rsidRPr="00AE0D77" w:rsidRDefault="00031355" w:rsidP="00EE0E52">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月餐飲業營業額</w:t>
      </w:r>
      <w:r w:rsidRPr="00AE0D77">
        <w:rPr>
          <w:rFonts w:eastAsia="標楷體"/>
          <w:kern w:val="0"/>
          <w:sz w:val="28"/>
          <w:szCs w:val="20"/>
        </w:rPr>
        <w:t>385</w:t>
      </w:r>
      <w:r w:rsidRPr="00AE0D77">
        <w:rPr>
          <w:rFonts w:eastAsia="標楷體"/>
          <w:kern w:val="0"/>
          <w:sz w:val="28"/>
          <w:szCs w:val="20"/>
        </w:rPr>
        <w:t>億元，較上年同月增加</w:t>
      </w:r>
      <w:r w:rsidRPr="00AE0D77">
        <w:rPr>
          <w:rFonts w:eastAsia="標楷體"/>
          <w:kern w:val="0"/>
          <w:sz w:val="28"/>
          <w:szCs w:val="20"/>
        </w:rPr>
        <w:t>2.7%</w:t>
      </w:r>
      <w:r w:rsidRPr="00AE0D77">
        <w:rPr>
          <w:rFonts w:eastAsia="標楷體"/>
          <w:kern w:val="0"/>
          <w:sz w:val="28"/>
          <w:szCs w:val="20"/>
        </w:rPr>
        <w:t>，其中餐館業受惠母親節及端午連假聚餐商機，加上業者持續展店及深耕品牌經營，年增</w:t>
      </w:r>
      <w:r w:rsidRPr="00AE0D77">
        <w:rPr>
          <w:rFonts w:eastAsia="標楷體"/>
          <w:kern w:val="0"/>
          <w:sz w:val="28"/>
          <w:szCs w:val="20"/>
        </w:rPr>
        <w:t>3.2%</w:t>
      </w:r>
      <w:r w:rsidRPr="00AE0D77">
        <w:rPr>
          <w:rFonts w:eastAsia="標楷體"/>
          <w:kern w:val="0"/>
          <w:sz w:val="28"/>
          <w:szCs w:val="20"/>
        </w:rPr>
        <w:t>；飲料店業及其他餐飲業則各減</w:t>
      </w:r>
      <w:r w:rsidRPr="00AE0D77">
        <w:rPr>
          <w:rFonts w:eastAsia="標楷體"/>
          <w:kern w:val="0"/>
          <w:sz w:val="28"/>
          <w:szCs w:val="20"/>
        </w:rPr>
        <w:t>0.1%</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Pr="00AE0D77">
        <w:rPr>
          <w:rFonts w:eastAsia="標楷體"/>
          <w:kern w:val="0"/>
          <w:sz w:val="28"/>
          <w:szCs w:val="20"/>
        </w:rPr>
        <w:t>5</w:t>
      </w:r>
      <w:r w:rsidR="00C5241D">
        <w:rPr>
          <w:rFonts w:eastAsia="標楷體"/>
          <w:kern w:val="0"/>
          <w:sz w:val="28"/>
          <w:szCs w:val="20"/>
        </w:rPr>
        <w:t>月餐飲業營業額</w:t>
      </w:r>
      <w:r w:rsidRPr="00AE0D77">
        <w:rPr>
          <w:rFonts w:eastAsia="標楷體"/>
          <w:kern w:val="0"/>
          <w:sz w:val="28"/>
          <w:szCs w:val="20"/>
        </w:rPr>
        <w:t>1,887</w:t>
      </w:r>
      <w:r w:rsidRPr="00AE0D77">
        <w:rPr>
          <w:rFonts w:eastAsia="標楷體"/>
          <w:kern w:val="0"/>
          <w:sz w:val="28"/>
          <w:szCs w:val="20"/>
        </w:rPr>
        <w:t>億元，較上年同期增加</w:t>
      </w:r>
      <w:r w:rsidRPr="00AE0D77">
        <w:rPr>
          <w:rFonts w:eastAsia="標楷體"/>
          <w:kern w:val="0"/>
          <w:sz w:val="28"/>
          <w:szCs w:val="20"/>
        </w:rPr>
        <w:t>3.3%</w:t>
      </w:r>
      <w:r w:rsidRPr="00AE0D77">
        <w:rPr>
          <w:rFonts w:eastAsia="標楷體"/>
          <w:kern w:val="0"/>
          <w:sz w:val="28"/>
          <w:szCs w:val="20"/>
        </w:rPr>
        <w:t>。</w:t>
      </w:r>
    </w:p>
    <w:p w:rsidR="00521BCE" w:rsidRPr="00AE0D77" w:rsidRDefault="00F67965" w:rsidP="00F67965">
      <w:pPr>
        <w:snapToGrid w:val="0"/>
        <w:spacing w:before="240" w:afterLines="50" w:after="180"/>
        <w:ind w:right="-692"/>
        <w:jc w:val="center"/>
        <w:rPr>
          <w:rFonts w:eastAsia="標楷體"/>
          <w:sz w:val="28"/>
        </w:rPr>
      </w:pPr>
      <w:r w:rsidRPr="00AE0D77">
        <w:rPr>
          <w:rFonts w:eastAsia="標楷體"/>
          <w:b/>
          <w:bCs/>
          <w:sz w:val="28"/>
        </w:rPr>
        <w:t>表</w:t>
      </w:r>
      <w:r w:rsidRPr="00AE0D77">
        <w:rPr>
          <w:rFonts w:eastAsia="標楷體"/>
          <w:b/>
          <w:bCs/>
          <w:sz w:val="28"/>
        </w:rPr>
        <w:t>2-3-</w:t>
      </w:r>
      <w:r w:rsidR="00AD15B7" w:rsidRPr="00AE0D77">
        <w:rPr>
          <w:rFonts w:eastAsia="標楷體"/>
          <w:b/>
          <w:bCs/>
          <w:sz w:val="28"/>
        </w:rPr>
        <w:t>4</w:t>
      </w:r>
      <w:r w:rsidRPr="00AE0D77">
        <w:rPr>
          <w:rFonts w:eastAsia="標楷體"/>
          <w:b/>
          <w:bCs/>
          <w:sz w:val="28"/>
        </w:rPr>
        <w:t xml:space="preserve">  </w:t>
      </w:r>
      <w:r w:rsidRPr="00AE0D77">
        <w:rPr>
          <w:rFonts w:eastAsia="標楷體"/>
          <w:b/>
          <w:bCs/>
          <w:sz w:val="28"/>
        </w:rPr>
        <w:t>餐飲業營業額變動概況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031355" w:rsidRPr="00AE0D77" w:rsidTr="00031355">
        <w:tc>
          <w:tcPr>
            <w:tcW w:w="2722" w:type="dxa"/>
            <w:vMerge w:val="restart"/>
            <w:tcBorders>
              <w:top w:val="single" w:sz="4" w:space="0" w:color="auto"/>
              <w:left w:val="nil"/>
              <w:bottom w:val="single" w:sz="4" w:space="0" w:color="auto"/>
              <w:right w:val="single" w:sz="4" w:space="0" w:color="auto"/>
            </w:tcBorders>
            <w:vAlign w:val="center"/>
            <w:hideMark/>
          </w:tcPr>
          <w:p w:rsidR="00031355" w:rsidRPr="00AE0D77" w:rsidRDefault="00031355">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031355" w:rsidRPr="00AE0D77" w:rsidRDefault="00031355">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5</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031355" w:rsidRPr="00AE0D77" w:rsidRDefault="00031355">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031355" w:rsidRPr="00AE0D77" w:rsidRDefault="00031355">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1~5</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031355" w:rsidRPr="00AE0D77" w:rsidRDefault="00031355">
            <w:pPr>
              <w:snapToGrid w:val="0"/>
              <w:spacing w:line="300" w:lineRule="exact"/>
              <w:ind w:left="28" w:right="-142"/>
              <w:jc w:val="center"/>
              <w:rPr>
                <w:rFonts w:eastAsia="標楷體"/>
              </w:rPr>
            </w:pPr>
          </w:p>
        </w:tc>
      </w:tr>
      <w:tr w:rsidR="00031355" w:rsidRPr="00AE0D77" w:rsidTr="00031355">
        <w:tc>
          <w:tcPr>
            <w:tcW w:w="0" w:type="auto"/>
            <w:vMerge/>
            <w:tcBorders>
              <w:top w:val="sing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rPr>
            </w:pPr>
          </w:p>
        </w:tc>
        <w:tc>
          <w:tcPr>
            <w:tcW w:w="1559" w:type="dxa"/>
            <w:tcBorders>
              <w:top w:val="nil"/>
              <w:left w:val="nil"/>
              <w:bottom w:val="single" w:sz="4" w:space="0" w:color="auto"/>
              <w:right w:val="single" w:sz="4" w:space="0" w:color="auto"/>
            </w:tcBorders>
            <w:hideMark/>
          </w:tcPr>
          <w:p w:rsidR="00031355" w:rsidRPr="00AE0D77" w:rsidRDefault="00031355">
            <w:pPr>
              <w:snapToGrid w:val="0"/>
              <w:spacing w:line="300" w:lineRule="exact"/>
              <w:ind w:left="28"/>
              <w:jc w:val="center"/>
              <w:rPr>
                <w:rFonts w:eastAsia="標楷體"/>
              </w:rPr>
            </w:pPr>
            <w:r w:rsidRPr="00AE0D77">
              <w:rPr>
                <w:rFonts w:eastAsia="標楷體"/>
              </w:rPr>
              <w:t>營業額</w:t>
            </w:r>
          </w:p>
          <w:p w:rsidR="00031355" w:rsidRPr="00AE0D77" w:rsidRDefault="00031355">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031355" w:rsidRPr="00AE0D77" w:rsidRDefault="00031355">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031355" w:rsidRPr="00AE0D77" w:rsidRDefault="00031355">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031355" w:rsidRPr="00AE0D77" w:rsidRDefault="00031355">
            <w:pPr>
              <w:snapToGrid w:val="0"/>
              <w:spacing w:line="300" w:lineRule="exact"/>
              <w:ind w:left="28"/>
              <w:jc w:val="center"/>
              <w:rPr>
                <w:rFonts w:eastAsia="標楷體"/>
              </w:rPr>
            </w:pPr>
            <w:r w:rsidRPr="00AE0D77">
              <w:rPr>
                <w:rFonts w:eastAsia="標楷體"/>
              </w:rPr>
              <w:t>營業額</w:t>
            </w:r>
          </w:p>
          <w:p w:rsidR="00031355" w:rsidRPr="00AE0D77" w:rsidRDefault="00031355">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031355" w:rsidRPr="00AE0D77" w:rsidRDefault="00031355">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031355" w:rsidRPr="00AE0D77" w:rsidRDefault="00031355">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031355" w:rsidRPr="00AE0D77" w:rsidTr="00031355">
        <w:tc>
          <w:tcPr>
            <w:tcW w:w="2722" w:type="dxa"/>
            <w:tcBorders>
              <w:top w:val="single" w:sz="4" w:space="0" w:color="auto"/>
              <w:left w:val="nil"/>
              <w:bottom w:val="nil"/>
              <w:right w:val="single" w:sz="4" w:space="0" w:color="auto"/>
            </w:tcBorders>
            <w:hideMark/>
          </w:tcPr>
          <w:p w:rsidR="00031355" w:rsidRPr="00AE0D77" w:rsidRDefault="00031355">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031355" w:rsidRPr="00AE0D77" w:rsidRDefault="00031355">
            <w:pPr>
              <w:ind w:rightChars="165" w:right="396"/>
              <w:jc w:val="right"/>
              <w:rPr>
                <w:rFonts w:eastAsia="標楷體"/>
              </w:rPr>
            </w:pPr>
            <w:r w:rsidRPr="00AE0D77">
              <w:rPr>
                <w:rFonts w:eastAsia="標楷體"/>
              </w:rPr>
              <w:t>385</w:t>
            </w:r>
          </w:p>
        </w:tc>
        <w:tc>
          <w:tcPr>
            <w:tcW w:w="1559" w:type="dxa"/>
            <w:tcBorders>
              <w:top w:val="single" w:sz="4" w:space="0" w:color="auto"/>
              <w:left w:val="nil"/>
              <w:bottom w:val="nil"/>
              <w:right w:val="double" w:sz="4" w:space="0" w:color="auto"/>
            </w:tcBorders>
            <w:hideMark/>
          </w:tcPr>
          <w:p w:rsidR="00031355" w:rsidRPr="00AE0D77" w:rsidRDefault="00031355">
            <w:pPr>
              <w:ind w:rightChars="224" w:right="538"/>
              <w:jc w:val="right"/>
              <w:rPr>
                <w:rFonts w:eastAsia="標楷體"/>
              </w:rPr>
            </w:pPr>
            <w:r w:rsidRPr="00AE0D77">
              <w:rPr>
                <w:rFonts w:eastAsia="標楷體"/>
              </w:rPr>
              <w:t>2.7</w:t>
            </w:r>
          </w:p>
        </w:tc>
        <w:tc>
          <w:tcPr>
            <w:tcW w:w="1559" w:type="dxa"/>
            <w:tcBorders>
              <w:top w:val="single" w:sz="4" w:space="0" w:color="auto"/>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1,887</w:t>
            </w:r>
          </w:p>
        </w:tc>
        <w:tc>
          <w:tcPr>
            <w:tcW w:w="1560" w:type="dxa"/>
            <w:tcBorders>
              <w:top w:val="single" w:sz="4" w:space="0" w:color="auto"/>
              <w:left w:val="nil"/>
              <w:bottom w:val="nil"/>
              <w:right w:val="nil"/>
            </w:tcBorders>
            <w:hideMark/>
          </w:tcPr>
          <w:p w:rsidR="00031355" w:rsidRPr="00AE0D77" w:rsidRDefault="00031355">
            <w:pPr>
              <w:ind w:rightChars="283" w:right="679"/>
              <w:jc w:val="right"/>
              <w:rPr>
                <w:rFonts w:eastAsia="標楷體"/>
              </w:rPr>
            </w:pPr>
            <w:r w:rsidRPr="00AE0D77">
              <w:rPr>
                <w:rFonts w:eastAsia="標楷體"/>
              </w:rPr>
              <w:t>3.3</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餐館業</w:t>
            </w:r>
          </w:p>
        </w:tc>
        <w:tc>
          <w:tcPr>
            <w:tcW w:w="1559" w:type="dxa"/>
            <w:hideMark/>
          </w:tcPr>
          <w:p w:rsidR="00031355" w:rsidRPr="00AE0D77" w:rsidRDefault="00031355">
            <w:pPr>
              <w:ind w:rightChars="165" w:right="396"/>
              <w:jc w:val="right"/>
              <w:rPr>
                <w:rFonts w:eastAsia="標楷體"/>
              </w:rPr>
            </w:pPr>
            <w:r w:rsidRPr="00AE0D77">
              <w:rPr>
                <w:rFonts w:eastAsia="標楷體"/>
              </w:rPr>
              <w:t>327</w:t>
            </w:r>
          </w:p>
        </w:tc>
        <w:tc>
          <w:tcPr>
            <w:tcW w:w="1559" w:type="dxa"/>
            <w:tcBorders>
              <w:top w:val="nil"/>
              <w:left w:val="nil"/>
              <w:bottom w:val="nil"/>
              <w:right w:val="double" w:sz="4" w:space="0" w:color="auto"/>
            </w:tcBorders>
            <w:hideMark/>
          </w:tcPr>
          <w:p w:rsidR="00031355" w:rsidRPr="00AE0D77" w:rsidRDefault="00031355">
            <w:pPr>
              <w:ind w:rightChars="224" w:right="538"/>
              <w:jc w:val="right"/>
              <w:rPr>
                <w:rFonts w:eastAsia="標楷體"/>
              </w:rPr>
            </w:pPr>
            <w:r w:rsidRPr="00AE0D77">
              <w:rPr>
                <w:rFonts w:eastAsia="標楷體"/>
              </w:rPr>
              <w:t>3.2</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1,603</w:t>
            </w:r>
          </w:p>
        </w:tc>
        <w:tc>
          <w:tcPr>
            <w:tcW w:w="1560" w:type="dxa"/>
            <w:hideMark/>
          </w:tcPr>
          <w:p w:rsidR="00031355" w:rsidRPr="00AE0D77" w:rsidRDefault="00031355">
            <w:pPr>
              <w:ind w:rightChars="283" w:right="679"/>
              <w:jc w:val="right"/>
              <w:rPr>
                <w:rFonts w:eastAsia="標楷體"/>
              </w:rPr>
            </w:pPr>
            <w:r w:rsidRPr="00AE0D77">
              <w:rPr>
                <w:rFonts w:eastAsia="標楷體"/>
              </w:rPr>
              <w:t>3.3</w:t>
            </w:r>
          </w:p>
        </w:tc>
      </w:tr>
      <w:tr w:rsidR="00031355" w:rsidRPr="00AE0D77" w:rsidTr="00031355">
        <w:trPr>
          <w:trHeight w:val="80"/>
        </w:trPr>
        <w:tc>
          <w:tcPr>
            <w:tcW w:w="2722" w:type="dxa"/>
            <w:tcBorders>
              <w:top w:val="nil"/>
              <w:left w:val="nil"/>
              <w:bottom w:val="nil"/>
              <w:right w:val="single" w:sz="4" w:space="0" w:color="auto"/>
            </w:tcBorders>
            <w:hideMark/>
          </w:tcPr>
          <w:p w:rsidR="00031355" w:rsidRPr="00AE0D77" w:rsidRDefault="00031355">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飲料店業</w:t>
            </w:r>
          </w:p>
        </w:tc>
        <w:tc>
          <w:tcPr>
            <w:tcW w:w="1559" w:type="dxa"/>
            <w:hideMark/>
          </w:tcPr>
          <w:p w:rsidR="00031355" w:rsidRPr="00AE0D77" w:rsidRDefault="00031355">
            <w:pPr>
              <w:ind w:rightChars="165" w:right="396"/>
              <w:jc w:val="right"/>
              <w:rPr>
                <w:rFonts w:eastAsia="標楷體"/>
              </w:rPr>
            </w:pPr>
            <w:r w:rsidRPr="00AE0D77">
              <w:rPr>
                <w:rFonts w:eastAsia="標楷體"/>
              </w:rPr>
              <w:t>43</w:t>
            </w:r>
          </w:p>
        </w:tc>
        <w:tc>
          <w:tcPr>
            <w:tcW w:w="1559" w:type="dxa"/>
            <w:tcBorders>
              <w:top w:val="nil"/>
              <w:left w:val="nil"/>
              <w:bottom w:val="nil"/>
              <w:right w:val="double" w:sz="4" w:space="0" w:color="auto"/>
            </w:tcBorders>
            <w:hideMark/>
          </w:tcPr>
          <w:p w:rsidR="00031355" w:rsidRPr="00AE0D77" w:rsidRDefault="00031355">
            <w:pPr>
              <w:ind w:rightChars="224" w:right="538"/>
              <w:jc w:val="right"/>
              <w:rPr>
                <w:rFonts w:eastAsia="標楷體"/>
              </w:rPr>
            </w:pPr>
            <w:r w:rsidRPr="00AE0D77">
              <w:rPr>
                <w:rFonts w:eastAsia="標楷體"/>
              </w:rPr>
              <w:t>-0.1</w:t>
            </w:r>
          </w:p>
        </w:tc>
        <w:tc>
          <w:tcPr>
            <w:tcW w:w="1559" w:type="dxa"/>
            <w:tcBorders>
              <w:top w:val="nil"/>
              <w:left w:val="double" w:sz="4" w:space="0" w:color="auto"/>
              <w:bottom w:val="nil"/>
              <w:right w:val="nil"/>
            </w:tcBorders>
            <w:hideMark/>
          </w:tcPr>
          <w:p w:rsidR="00031355" w:rsidRPr="00AE0D77" w:rsidRDefault="00031355">
            <w:pPr>
              <w:ind w:rightChars="165" w:right="396"/>
              <w:jc w:val="right"/>
              <w:rPr>
                <w:rFonts w:eastAsia="標楷體"/>
              </w:rPr>
            </w:pPr>
            <w:r w:rsidRPr="00AE0D77">
              <w:rPr>
                <w:rFonts w:eastAsia="標楷體"/>
              </w:rPr>
              <w:t>208</w:t>
            </w:r>
          </w:p>
        </w:tc>
        <w:tc>
          <w:tcPr>
            <w:tcW w:w="1560" w:type="dxa"/>
            <w:hideMark/>
          </w:tcPr>
          <w:p w:rsidR="00031355" w:rsidRPr="00AE0D77" w:rsidRDefault="00031355">
            <w:pPr>
              <w:ind w:rightChars="283" w:right="679"/>
              <w:jc w:val="right"/>
              <w:rPr>
                <w:rFonts w:eastAsia="標楷體"/>
              </w:rPr>
            </w:pPr>
            <w:r w:rsidRPr="00AE0D77">
              <w:rPr>
                <w:rFonts w:eastAsia="標楷體"/>
              </w:rPr>
              <w:t>4.5</w:t>
            </w:r>
          </w:p>
        </w:tc>
      </w:tr>
      <w:tr w:rsidR="00031355" w:rsidRPr="00AE0D77" w:rsidTr="00031355">
        <w:trPr>
          <w:trHeight w:val="80"/>
        </w:trPr>
        <w:tc>
          <w:tcPr>
            <w:tcW w:w="2722" w:type="dxa"/>
            <w:tcBorders>
              <w:top w:val="nil"/>
              <w:left w:val="nil"/>
              <w:bottom w:val="single" w:sz="4" w:space="0" w:color="auto"/>
              <w:right w:val="single" w:sz="4" w:space="0" w:color="auto"/>
            </w:tcBorders>
            <w:hideMark/>
          </w:tcPr>
          <w:p w:rsidR="00031355" w:rsidRPr="00AE0D77" w:rsidRDefault="00031355">
            <w:pPr>
              <w:snapToGrid w:val="0"/>
              <w:spacing w:line="400" w:lineRule="atLeast"/>
              <w:ind w:left="28" w:right="-142"/>
              <w:jc w:val="both"/>
              <w:rPr>
                <w:rFonts w:eastAsia="標楷體"/>
              </w:rPr>
            </w:pPr>
            <w:r w:rsidRPr="00AE0D77">
              <w:rPr>
                <w:rFonts w:eastAsia="標楷體"/>
              </w:rPr>
              <w:t xml:space="preserve">  </w:t>
            </w:r>
            <w:r w:rsidRPr="00AE0D77">
              <w:rPr>
                <w:rFonts w:eastAsia="標楷體"/>
              </w:rPr>
              <w:t>其他餐飲業</w:t>
            </w:r>
          </w:p>
        </w:tc>
        <w:tc>
          <w:tcPr>
            <w:tcW w:w="1559" w:type="dxa"/>
            <w:tcBorders>
              <w:top w:val="nil"/>
              <w:left w:val="nil"/>
              <w:bottom w:val="single" w:sz="4" w:space="0" w:color="auto"/>
              <w:right w:val="nil"/>
            </w:tcBorders>
            <w:hideMark/>
          </w:tcPr>
          <w:p w:rsidR="00031355" w:rsidRPr="00AE0D77" w:rsidRDefault="00031355">
            <w:pPr>
              <w:ind w:rightChars="165" w:right="396"/>
              <w:jc w:val="right"/>
              <w:rPr>
                <w:rFonts w:eastAsia="標楷體"/>
              </w:rPr>
            </w:pPr>
            <w:r w:rsidRPr="00AE0D77">
              <w:rPr>
                <w:rFonts w:eastAsia="標楷體"/>
              </w:rPr>
              <w:t>15</w:t>
            </w:r>
          </w:p>
        </w:tc>
        <w:tc>
          <w:tcPr>
            <w:tcW w:w="1559" w:type="dxa"/>
            <w:tcBorders>
              <w:top w:val="nil"/>
              <w:left w:val="nil"/>
              <w:bottom w:val="single" w:sz="4" w:space="0" w:color="auto"/>
              <w:right w:val="double" w:sz="4" w:space="0" w:color="auto"/>
            </w:tcBorders>
            <w:hideMark/>
          </w:tcPr>
          <w:p w:rsidR="00031355" w:rsidRPr="00AE0D77" w:rsidRDefault="00031355">
            <w:pPr>
              <w:ind w:rightChars="224" w:right="538"/>
              <w:jc w:val="right"/>
              <w:rPr>
                <w:rFonts w:eastAsia="標楷體"/>
              </w:rPr>
            </w:pPr>
            <w:r w:rsidRPr="00AE0D77">
              <w:rPr>
                <w:rFonts w:eastAsia="標楷體"/>
              </w:rPr>
              <w:t>-0.1</w:t>
            </w:r>
          </w:p>
        </w:tc>
        <w:tc>
          <w:tcPr>
            <w:tcW w:w="1559" w:type="dxa"/>
            <w:tcBorders>
              <w:top w:val="nil"/>
              <w:left w:val="double" w:sz="4" w:space="0" w:color="auto"/>
              <w:bottom w:val="single" w:sz="4" w:space="0" w:color="auto"/>
              <w:right w:val="nil"/>
            </w:tcBorders>
            <w:hideMark/>
          </w:tcPr>
          <w:p w:rsidR="00031355" w:rsidRPr="00AE0D77" w:rsidRDefault="00031355">
            <w:pPr>
              <w:ind w:rightChars="165" w:right="396"/>
              <w:jc w:val="right"/>
              <w:rPr>
                <w:rFonts w:eastAsia="標楷體"/>
              </w:rPr>
            </w:pPr>
            <w:r w:rsidRPr="00AE0D77">
              <w:rPr>
                <w:rFonts w:eastAsia="標楷體"/>
              </w:rPr>
              <w:t>75</w:t>
            </w:r>
          </w:p>
        </w:tc>
        <w:tc>
          <w:tcPr>
            <w:tcW w:w="1560" w:type="dxa"/>
            <w:tcBorders>
              <w:top w:val="nil"/>
              <w:left w:val="nil"/>
              <w:bottom w:val="single" w:sz="4" w:space="0" w:color="auto"/>
              <w:right w:val="nil"/>
            </w:tcBorders>
            <w:hideMark/>
          </w:tcPr>
          <w:p w:rsidR="00031355" w:rsidRPr="00AE0D77" w:rsidRDefault="00031355">
            <w:pPr>
              <w:ind w:rightChars="283" w:right="679"/>
              <w:jc w:val="right"/>
              <w:rPr>
                <w:rFonts w:eastAsia="標楷體"/>
              </w:rPr>
            </w:pPr>
            <w:r w:rsidRPr="00AE0D77">
              <w:rPr>
                <w:rFonts w:eastAsia="標楷體"/>
              </w:rPr>
              <w:t>1.2</w:t>
            </w:r>
          </w:p>
        </w:tc>
      </w:tr>
    </w:tbl>
    <w:p w:rsidR="00F67965" w:rsidRPr="00AE0D77" w:rsidRDefault="00F67965" w:rsidP="00F67965">
      <w:pPr>
        <w:spacing w:afterLines="50" w:after="180"/>
        <w:textDirection w:val="lrTbV"/>
        <w:rPr>
          <w:rFonts w:eastAsia="標楷體"/>
          <w:sz w:val="22"/>
          <w:szCs w:val="22"/>
        </w:rPr>
      </w:pPr>
      <w:r w:rsidRPr="00AE0D77">
        <w:rPr>
          <w:rFonts w:eastAsia="標楷體"/>
          <w:sz w:val="22"/>
          <w:szCs w:val="22"/>
        </w:rPr>
        <w:t>資料來源：經濟部統計處。</w:t>
      </w:r>
    </w:p>
    <w:p w:rsidR="003F3F99" w:rsidRPr="00AE0D77" w:rsidRDefault="003F3F99" w:rsidP="003F3F99">
      <w:pPr>
        <w:spacing w:afterLines="50" w:after="180"/>
        <w:textDirection w:val="lrTbV"/>
        <w:rPr>
          <w:rFonts w:eastAsia="標楷體"/>
          <w:sz w:val="22"/>
          <w:szCs w:val="22"/>
        </w:rPr>
      </w:pPr>
    </w:p>
    <w:p w:rsidR="003F3F99" w:rsidRPr="00AE0D77" w:rsidRDefault="003F3F99" w:rsidP="003F3F99">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F3F99" w:rsidRPr="00AE0D77" w:rsidRDefault="00AF6D56"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86347632"/>
        <w:r w:rsidR="003F3F99" w:rsidRPr="00AE0D77">
          <w:rPr>
            <w:rFonts w:eastAsia="標楷體"/>
            <w:b/>
            <w:bCs/>
            <w:sz w:val="32"/>
            <w:szCs w:val="32"/>
          </w:rPr>
          <w:t>（四）貿易</w:t>
        </w:r>
        <w:bookmarkEnd w:id="97"/>
        <w:bookmarkEnd w:id="98"/>
        <w:bookmarkEnd w:id="99"/>
        <w:bookmarkEnd w:id="100"/>
      </w:hyperlink>
    </w:p>
    <w:p w:rsidR="00F67965" w:rsidRPr="00AE0D77" w:rsidRDefault="00F67965" w:rsidP="00F67965">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t>１、</w:t>
      </w:r>
      <w:r w:rsidR="00031355" w:rsidRPr="00AE0D77">
        <w:rPr>
          <w:rFonts w:eastAsia="標楷體"/>
          <w:b/>
          <w:bCs/>
          <w:kern w:val="0"/>
          <w:sz w:val="28"/>
          <w:szCs w:val="20"/>
        </w:rPr>
        <w:t>106</w:t>
      </w:r>
      <w:r w:rsidR="00031355" w:rsidRPr="00AE0D77">
        <w:rPr>
          <w:rFonts w:eastAsia="標楷體"/>
          <w:b/>
          <w:bCs/>
          <w:kern w:val="0"/>
          <w:sz w:val="28"/>
          <w:szCs w:val="20"/>
        </w:rPr>
        <w:t>年</w:t>
      </w:r>
      <w:r w:rsidR="00031355" w:rsidRPr="00AE0D77">
        <w:rPr>
          <w:rFonts w:eastAsia="標楷體"/>
          <w:b/>
          <w:bCs/>
          <w:kern w:val="0"/>
          <w:sz w:val="28"/>
          <w:szCs w:val="20"/>
        </w:rPr>
        <w:t>5</w:t>
      </w:r>
      <w:r w:rsidR="00031355" w:rsidRPr="00AE0D77">
        <w:rPr>
          <w:rFonts w:eastAsia="標楷體"/>
          <w:b/>
          <w:bCs/>
          <w:kern w:val="0"/>
          <w:sz w:val="28"/>
          <w:szCs w:val="20"/>
        </w:rPr>
        <w:t>月</w:t>
      </w:r>
      <w:r w:rsidR="00031355" w:rsidRPr="00AE0D77">
        <w:rPr>
          <w:rFonts w:eastAsia="標楷體"/>
          <w:b/>
          <w:sz w:val="28"/>
        </w:rPr>
        <w:t>出、進口分別成長</w:t>
      </w:r>
      <w:r w:rsidR="00031355" w:rsidRPr="00AE0D77">
        <w:rPr>
          <w:rFonts w:eastAsia="標楷體"/>
          <w:b/>
          <w:sz w:val="28"/>
        </w:rPr>
        <w:t>8.4%</w:t>
      </w:r>
      <w:r w:rsidR="00031355" w:rsidRPr="00AE0D77">
        <w:rPr>
          <w:rFonts w:eastAsia="標楷體"/>
          <w:b/>
          <w:sz w:val="28"/>
        </w:rPr>
        <w:t>及</w:t>
      </w:r>
      <w:r w:rsidR="00031355" w:rsidRPr="00AE0D77">
        <w:rPr>
          <w:rFonts w:eastAsia="標楷體"/>
          <w:b/>
          <w:sz w:val="28"/>
        </w:rPr>
        <w:t>10.2%</w:t>
      </w:r>
    </w:p>
    <w:p w:rsidR="00F67965" w:rsidRPr="00AE0D77" w:rsidRDefault="00031355" w:rsidP="00EE0E52">
      <w:pPr>
        <w:snapToGrid w:val="0"/>
        <w:spacing w:before="120" w:line="300" w:lineRule="auto"/>
        <w:ind w:right="-142" w:firstLineChars="202" w:firstLine="566"/>
        <w:jc w:val="both"/>
        <w:rPr>
          <w:rFonts w:eastAsia="標楷體"/>
          <w:sz w:val="28"/>
        </w:rPr>
      </w:pPr>
      <w:r w:rsidRPr="00AE0D77">
        <w:rPr>
          <w:rFonts w:eastAsia="標楷體"/>
          <w:sz w:val="28"/>
        </w:rPr>
        <w:t>106</w:t>
      </w:r>
      <w:r w:rsidRPr="00AE0D77">
        <w:rPr>
          <w:rFonts w:eastAsia="標楷體"/>
          <w:sz w:val="28"/>
        </w:rPr>
        <w:t>年</w:t>
      </w:r>
      <w:r w:rsidRPr="00AE0D77">
        <w:rPr>
          <w:rFonts w:eastAsia="標楷體"/>
          <w:sz w:val="28"/>
        </w:rPr>
        <w:t>5</w:t>
      </w:r>
      <w:r w:rsidRPr="00AE0D77">
        <w:rPr>
          <w:rFonts w:eastAsia="標楷體"/>
          <w:sz w:val="28"/>
        </w:rPr>
        <w:t>月出口總值</w:t>
      </w:r>
      <w:r w:rsidRPr="00AE0D77">
        <w:rPr>
          <w:rFonts w:eastAsia="標楷體"/>
          <w:sz w:val="28"/>
        </w:rPr>
        <w:t>255.2</w:t>
      </w:r>
      <w:r w:rsidRPr="00AE0D77">
        <w:rPr>
          <w:rFonts w:eastAsia="標楷體"/>
          <w:sz w:val="28"/>
        </w:rPr>
        <w:t>億美元，較上年同月增加</w:t>
      </w:r>
      <w:r w:rsidRPr="00AE0D77">
        <w:rPr>
          <w:rFonts w:eastAsia="標楷體"/>
          <w:sz w:val="28"/>
        </w:rPr>
        <w:t>8.4%</w:t>
      </w:r>
      <w:r w:rsidRPr="00AE0D77">
        <w:rPr>
          <w:rFonts w:eastAsia="標楷體"/>
          <w:sz w:val="28"/>
        </w:rPr>
        <w:t>；進口總值</w:t>
      </w:r>
      <w:r w:rsidRPr="00AE0D77">
        <w:rPr>
          <w:rFonts w:eastAsia="標楷體"/>
          <w:sz w:val="28"/>
        </w:rPr>
        <w:t>220.7</w:t>
      </w:r>
      <w:r w:rsidRPr="00AE0D77">
        <w:rPr>
          <w:rFonts w:eastAsia="標楷體"/>
          <w:sz w:val="28"/>
        </w:rPr>
        <w:t>億美元，增加</w:t>
      </w:r>
      <w:r w:rsidRPr="00AE0D77">
        <w:rPr>
          <w:rFonts w:eastAsia="標楷體"/>
          <w:sz w:val="28"/>
        </w:rPr>
        <w:t>10.2%</w:t>
      </w:r>
      <w:r w:rsidRPr="00AE0D77">
        <w:rPr>
          <w:rFonts w:eastAsia="標楷體"/>
          <w:sz w:val="28"/>
        </w:rPr>
        <w:t>；出超</w:t>
      </w:r>
      <w:r w:rsidRPr="00AE0D77">
        <w:rPr>
          <w:rFonts w:eastAsia="標楷體"/>
          <w:sz w:val="28"/>
        </w:rPr>
        <w:t>34.6</w:t>
      </w:r>
      <w:r w:rsidRPr="00AE0D77">
        <w:rPr>
          <w:rFonts w:eastAsia="標楷體"/>
          <w:sz w:val="28"/>
        </w:rPr>
        <w:t>億美元。累計</w:t>
      </w:r>
      <w:r w:rsidRPr="00AE0D77">
        <w:rPr>
          <w:rFonts w:eastAsia="標楷體"/>
          <w:sz w:val="28"/>
        </w:rPr>
        <w:t>1</w:t>
      </w:r>
      <w:r w:rsidRPr="00AE0D77">
        <w:rPr>
          <w:rFonts w:eastAsia="標楷體"/>
          <w:sz w:val="28"/>
        </w:rPr>
        <w:t>至</w:t>
      </w:r>
      <w:r w:rsidRPr="00AE0D77">
        <w:rPr>
          <w:rFonts w:eastAsia="標楷體"/>
          <w:sz w:val="28"/>
        </w:rPr>
        <w:t>5</w:t>
      </w:r>
      <w:r w:rsidRPr="00AE0D77">
        <w:rPr>
          <w:rFonts w:eastAsia="標楷體"/>
          <w:sz w:val="28"/>
        </w:rPr>
        <w:t>月出口</w:t>
      </w:r>
      <w:r w:rsidRPr="00AE0D77">
        <w:rPr>
          <w:rFonts w:eastAsia="標楷體"/>
          <w:sz w:val="28"/>
        </w:rPr>
        <w:t>1,219.3</w:t>
      </w:r>
      <w:r w:rsidRPr="00AE0D77">
        <w:rPr>
          <w:rFonts w:eastAsia="標楷體"/>
          <w:sz w:val="28"/>
        </w:rPr>
        <w:t>億美元，進口</w:t>
      </w:r>
      <w:r w:rsidRPr="00AE0D77">
        <w:rPr>
          <w:rFonts w:eastAsia="標楷體"/>
          <w:sz w:val="28"/>
        </w:rPr>
        <w:t>1,049.0</w:t>
      </w:r>
      <w:r w:rsidRPr="00AE0D77">
        <w:rPr>
          <w:rFonts w:eastAsia="標楷體"/>
          <w:sz w:val="28"/>
        </w:rPr>
        <w:t>億美元，分別較上年同期增加</w:t>
      </w:r>
      <w:r w:rsidRPr="00AE0D77">
        <w:rPr>
          <w:rFonts w:eastAsia="標楷體"/>
          <w:sz w:val="28"/>
        </w:rPr>
        <w:t>12.5%</w:t>
      </w:r>
      <w:r w:rsidRPr="00AE0D77">
        <w:rPr>
          <w:rFonts w:eastAsia="標楷體"/>
          <w:sz w:val="28"/>
        </w:rPr>
        <w:t>及</w:t>
      </w:r>
      <w:r w:rsidRPr="00AE0D77">
        <w:rPr>
          <w:rFonts w:eastAsia="標楷體"/>
          <w:sz w:val="28"/>
        </w:rPr>
        <w:t>19.4%</w:t>
      </w:r>
      <w:r w:rsidRPr="00AE0D77">
        <w:rPr>
          <w:rFonts w:eastAsia="標楷體"/>
          <w:sz w:val="28"/>
        </w:rPr>
        <w:t>；出超</w:t>
      </w:r>
      <w:r w:rsidRPr="00AE0D77">
        <w:rPr>
          <w:rFonts w:eastAsia="標楷體"/>
          <w:sz w:val="28"/>
        </w:rPr>
        <w:t>170.3</w:t>
      </w:r>
      <w:r w:rsidRPr="00AE0D77">
        <w:rPr>
          <w:rFonts w:eastAsia="標楷體"/>
          <w:sz w:val="28"/>
        </w:rPr>
        <w:t>億美元。</w:t>
      </w:r>
    </w:p>
    <w:p w:rsidR="00F67965" w:rsidRPr="00AE0D77" w:rsidRDefault="00F67965" w:rsidP="00F67965">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031355" w:rsidRPr="00AE0D77" w:rsidTr="00031355">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031355" w:rsidRPr="00AE0D77" w:rsidTr="00031355">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031355" w:rsidRPr="00AE0D77" w:rsidRDefault="00031355">
            <w:pPr>
              <w:widowControl/>
              <w:rPr>
                <w:rFonts w:eastAsia="標楷體"/>
              </w:rPr>
            </w:pP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101</w:t>
            </w:r>
            <w:r w:rsidRPr="00AE0D77">
              <w:rPr>
                <w:rFonts w:eastAsia="標楷體"/>
                <w:b/>
                <w:bCs/>
              </w:rPr>
              <w:t>年</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b/>
                <w:bCs/>
              </w:rPr>
            </w:pPr>
            <w:r w:rsidRPr="00AE0D77">
              <w:rPr>
                <w:rFonts w:eastAsia="標楷體"/>
                <w:b/>
                <w:bCs/>
              </w:rPr>
              <w:t>3,064.1</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b/>
                <w:bCs/>
              </w:rPr>
            </w:pPr>
            <w:r w:rsidRPr="00AE0D77">
              <w:rPr>
                <w:rFonts w:eastAsia="標楷體"/>
                <w:b/>
                <w:bCs/>
              </w:rPr>
              <w:t>-2.1</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b/>
                <w:bCs/>
              </w:rPr>
            </w:pPr>
            <w:r w:rsidRPr="00AE0D77">
              <w:rPr>
                <w:rFonts w:eastAsia="標楷體"/>
                <w:b/>
                <w:bCs/>
              </w:rPr>
              <w:t>2,773.2</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b/>
                <w:bCs/>
              </w:rPr>
            </w:pPr>
            <w:r w:rsidRPr="00AE0D77">
              <w:rPr>
                <w:rFonts w:eastAsia="標楷體"/>
                <w:b/>
                <w:bCs/>
              </w:rPr>
              <w:t>-3.7</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b/>
                <w:bCs/>
              </w:rPr>
            </w:pPr>
            <w:r w:rsidRPr="00AE0D77">
              <w:rPr>
                <w:rFonts w:eastAsia="標楷體"/>
                <w:b/>
                <w:bCs/>
              </w:rPr>
              <w:t>290.9</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102</w:t>
            </w:r>
            <w:r w:rsidRPr="00AE0D77">
              <w:rPr>
                <w:rFonts w:eastAsia="標楷體"/>
                <w:b/>
                <w:bCs/>
              </w:rPr>
              <w:t>年</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b/>
              </w:rPr>
            </w:pPr>
            <w:r w:rsidRPr="00AE0D77">
              <w:rPr>
                <w:rFonts w:eastAsia="標楷體"/>
                <w:b/>
              </w:rPr>
              <w:t>3,114.3</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b/>
              </w:rPr>
            </w:pPr>
            <w:r w:rsidRPr="00AE0D77">
              <w:rPr>
                <w:rFonts w:eastAsia="標楷體"/>
                <w:b/>
              </w:rPr>
              <w:t>1.6</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b/>
              </w:rPr>
            </w:pPr>
            <w:r w:rsidRPr="00AE0D77">
              <w:rPr>
                <w:rFonts w:eastAsia="標楷體"/>
                <w:b/>
              </w:rPr>
              <w:t>2,780.1</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b/>
              </w:rPr>
            </w:pPr>
            <w:r w:rsidRPr="00AE0D77">
              <w:rPr>
                <w:rFonts w:eastAsia="標楷體"/>
                <w:b/>
              </w:rPr>
              <w:t>0.2</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b/>
              </w:rPr>
            </w:pPr>
            <w:r w:rsidRPr="00AE0D77">
              <w:rPr>
                <w:rFonts w:eastAsia="標楷體"/>
                <w:b/>
              </w:rPr>
              <w:t>334.2</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103</w:t>
            </w:r>
            <w:r w:rsidRPr="00AE0D77">
              <w:rPr>
                <w:rFonts w:eastAsia="標楷體"/>
                <w:b/>
                <w:bCs/>
              </w:rPr>
              <w:t>年</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b/>
              </w:rPr>
            </w:pPr>
            <w:r w:rsidRPr="00AE0D77">
              <w:rPr>
                <w:rFonts w:eastAsia="標楷體"/>
                <w:b/>
              </w:rPr>
              <w:t>3,200.9</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b/>
              </w:rPr>
            </w:pPr>
            <w:r w:rsidRPr="00AE0D77">
              <w:rPr>
                <w:rFonts w:eastAsia="標楷體"/>
                <w:b/>
              </w:rPr>
              <w:t>2.8</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b/>
              </w:rPr>
            </w:pPr>
            <w:r w:rsidRPr="00AE0D77">
              <w:rPr>
                <w:rFonts w:eastAsia="標楷體"/>
                <w:b/>
              </w:rPr>
              <w:t>2,818.5</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b/>
              </w:rPr>
            </w:pPr>
            <w:r w:rsidRPr="00AE0D77">
              <w:rPr>
                <w:rFonts w:eastAsia="標楷體"/>
                <w:b/>
              </w:rPr>
              <w:t>1.4</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b/>
              </w:rPr>
            </w:pPr>
            <w:r w:rsidRPr="00AE0D77">
              <w:rPr>
                <w:rFonts w:eastAsia="標楷體"/>
                <w:b/>
              </w:rPr>
              <w:t>382.4</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104</w:t>
            </w:r>
            <w:r w:rsidRPr="00AE0D77">
              <w:rPr>
                <w:rFonts w:eastAsia="標楷體"/>
                <w:b/>
                <w:bCs/>
              </w:rPr>
              <w:t>年</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b/>
              </w:rPr>
            </w:pPr>
            <w:r w:rsidRPr="00AE0D77">
              <w:rPr>
                <w:rFonts w:eastAsia="標楷體"/>
                <w:b/>
              </w:rPr>
              <w:t>2,853.4</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b/>
              </w:rPr>
            </w:pPr>
            <w:r w:rsidRPr="00AE0D77">
              <w:rPr>
                <w:rFonts w:eastAsia="標楷體"/>
                <w:b/>
              </w:rPr>
              <w:t>-10.9</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b/>
              </w:rPr>
            </w:pPr>
            <w:r w:rsidRPr="00AE0D77">
              <w:rPr>
                <w:rFonts w:eastAsia="標楷體"/>
                <w:b/>
              </w:rPr>
              <w:t>2,372.2</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b/>
              </w:rPr>
            </w:pPr>
            <w:r w:rsidRPr="00AE0D77">
              <w:rPr>
                <w:rFonts w:eastAsia="標楷體"/>
                <w:b/>
              </w:rPr>
              <w:t>-15.8</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b/>
              </w:rPr>
            </w:pPr>
            <w:r w:rsidRPr="00AE0D77">
              <w:rPr>
                <w:rFonts w:eastAsia="標楷體"/>
                <w:b/>
              </w:rPr>
              <w:t>481.2</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105</w:t>
            </w:r>
            <w:r w:rsidRPr="00AE0D77">
              <w:rPr>
                <w:rFonts w:eastAsia="標楷體"/>
                <w:b/>
                <w:bCs/>
              </w:rPr>
              <w:t>年</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b/>
              </w:rPr>
            </w:pPr>
            <w:r w:rsidRPr="00AE0D77">
              <w:rPr>
                <w:rFonts w:eastAsia="標楷體"/>
                <w:b/>
              </w:rPr>
              <w:t>2,803.2</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b/>
              </w:rPr>
            </w:pPr>
            <w:r w:rsidRPr="00AE0D77">
              <w:rPr>
                <w:rFonts w:eastAsia="標楷體"/>
                <w:b/>
              </w:rPr>
              <w:t>-1.8</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b/>
              </w:rPr>
            </w:pPr>
            <w:r w:rsidRPr="00AE0D77">
              <w:rPr>
                <w:rFonts w:eastAsia="標楷體"/>
                <w:b/>
              </w:rPr>
              <w:t>2,305.7</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b/>
              </w:rPr>
            </w:pPr>
            <w:r w:rsidRPr="00AE0D77">
              <w:rPr>
                <w:rFonts w:eastAsia="標楷體"/>
                <w:b/>
              </w:rPr>
              <w:t>-2.8</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b/>
              </w:rPr>
            </w:pPr>
            <w:r w:rsidRPr="00AE0D77">
              <w:rPr>
                <w:rFonts w:eastAsia="標楷體"/>
                <w:b/>
              </w:rPr>
              <w:t>497.5</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bCs/>
              </w:rPr>
              <w:t>5</w:t>
            </w:r>
            <w:r w:rsidRPr="00AE0D77">
              <w:rPr>
                <w:rFonts w:eastAsia="標楷體"/>
                <w:bCs/>
              </w:rPr>
              <w:t>月</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rPr>
            </w:pPr>
            <w:r w:rsidRPr="00AE0D77">
              <w:rPr>
                <w:rFonts w:eastAsia="標楷體"/>
              </w:rPr>
              <w:t>235.4</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-9.5</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rPr>
            </w:pPr>
            <w:r w:rsidRPr="00AE0D77">
              <w:rPr>
                <w:rFonts w:eastAsia="標楷體"/>
              </w:rPr>
              <w:t>200.3</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-3.4</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rPr>
            </w:pPr>
            <w:r w:rsidRPr="00AE0D77">
              <w:rPr>
                <w:rFonts w:eastAsia="標楷體"/>
              </w:rPr>
              <w:t>35.1</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bCs/>
              </w:rPr>
              <w:t>6</w:t>
            </w:r>
            <w:r w:rsidRPr="00AE0D77">
              <w:rPr>
                <w:rFonts w:eastAsia="標楷體"/>
                <w:bCs/>
              </w:rPr>
              <w:t>月</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rPr>
            </w:pPr>
            <w:r w:rsidRPr="00AE0D77">
              <w:rPr>
                <w:rFonts w:eastAsia="標楷體"/>
              </w:rPr>
              <w:t>228.6</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-2.2</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rPr>
            </w:pPr>
            <w:r w:rsidRPr="00AE0D77">
              <w:rPr>
                <w:rFonts w:eastAsia="標楷體"/>
              </w:rPr>
              <w:t>193.0</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-10.1</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rPr>
            </w:pPr>
            <w:r w:rsidRPr="00AE0D77">
              <w:rPr>
                <w:rFonts w:eastAsia="標楷體"/>
              </w:rPr>
              <w:t>35.7</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rPr>
              <w:t>7</w:t>
            </w:r>
            <w:r w:rsidRPr="00AE0D77">
              <w:rPr>
                <w:rFonts w:eastAsia="標楷體"/>
              </w:rPr>
              <w:t>月</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rPr>
            </w:pPr>
            <w:r w:rsidRPr="00AE0D77">
              <w:rPr>
                <w:rFonts w:eastAsia="標楷體"/>
              </w:rPr>
              <w:t>240.9</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1.1</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rPr>
            </w:pPr>
            <w:r w:rsidRPr="00AE0D77">
              <w:rPr>
                <w:rFonts w:eastAsia="標楷體"/>
              </w:rPr>
              <w:t>204.2</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-0.6</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rPr>
            </w:pPr>
            <w:r w:rsidRPr="00AE0D77">
              <w:rPr>
                <w:rFonts w:eastAsia="標楷體"/>
              </w:rPr>
              <w:t>36.8</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8</w:t>
            </w:r>
            <w:r w:rsidRPr="00AE0D77">
              <w:rPr>
                <w:rFonts w:eastAsia="標楷體"/>
              </w:rPr>
              <w:t>月</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rPr>
            </w:pPr>
            <w:r w:rsidRPr="00AE0D77">
              <w:rPr>
                <w:rFonts w:eastAsia="標楷體"/>
              </w:rPr>
              <w:t>246.3</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0.9</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rPr>
            </w:pPr>
            <w:r w:rsidRPr="00AE0D77">
              <w:rPr>
                <w:rFonts w:eastAsia="標楷體"/>
              </w:rPr>
              <w:t>206.4</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-1.0</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rPr>
            </w:pPr>
            <w:r w:rsidRPr="00AE0D77">
              <w:rPr>
                <w:rFonts w:eastAsia="標楷體"/>
              </w:rPr>
              <w:t>39.9</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9</w:t>
            </w:r>
            <w:r w:rsidRPr="00AE0D77">
              <w:rPr>
                <w:rFonts w:eastAsia="標楷體"/>
              </w:rPr>
              <w:t>月</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rPr>
            </w:pPr>
            <w:r w:rsidRPr="00AE0D77">
              <w:rPr>
                <w:rFonts w:eastAsia="標楷體"/>
              </w:rPr>
              <w:t>225.5</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-1.9</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rPr>
            </w:pPr>
            <w:r w:rsidRPr="00AE0D77">
              <w:rPr>
                <w:rFonts w:eastAsia="標楷體"/>
              </w:rPr>
              <w:t>181.8</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0.7</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rPr>
            </w:pPr>
            <w:r w:rsidRPr="00AE0D77">
              <w:rPr>
                <w:rFonts w:eastAsia="標楷體"/>
              </w:rPr>
              <w:t>43.8</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10</w:t>
            </w:r>
            <w:r w:rsidRPr="00AE0D77">
              <w:rPr>
                <w:rFonts w:eastAsia="標楷體"/>
              </w:rPr>
              <w:t>月</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rPr>
            </w:pPr>
            <w:r w:rsidRPr="00AE0D77">
              <w:rPr>
                <w:rFonts w:eastAsia="標楷體"/>
              </w:rPr>
              <w:t>267.4</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9.3</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rPr>
            </w:pPr>
            <w:r w:rsidRPr="00AE0D77">
              <w:rPr>
                <w:rFonts w:eastAsia="標楷體"/>
              </w:rPr>
              <w:t>223.1</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19.2</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rPr>
            </w:pPr>
            <w:r w:rsidRPr="00AE0D77">
              <w:rPr>
                <w:rFonts w:eastAsia="標楷體"/>
              </w:rPr>
              <w:t>44.3</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11</w:t>
            </w:r>
            <w:r w:rsidRPr="00AE0D77">
              <w:rPr>
                <w:rFonts w:eastAsia="標楷體"/>
              </w:rPr>
              <w:t>月</w:t>
            </w:r>
          </w:p>
        </w:tc>
        <w:tc>
          <w:tcPr>
            <w:tcW w:w="1800" w:type="dxa"/>
            <w:tcBorders>
              <w:top w:val="nil"/>
              <w:left w:val="single" w:sz="4" w:space="0" w:color="auto"/>
              <w:bottom w:val="nil"/>
              <w:right w:val="nil"/>
            </w:tcBorders>
            <w:vAlign w:val="center"/>
            <w:hideMark/>
          </w:tcPr>
          <w:p w:rsidR="00031355" w:rsidRPr="00AE0D77" w:rsidRDefault="00031355">
            <w:pPr>
              <w:snapToGrid w:val="0"/>
              <w:spacing w:line="320" w:lineRule="exact"/>
              <w:ind w:right="480"/>
              <w:jc w:val="right"/>
              <w:rPr>
                <w:rFonts w:eastAsia="標楷體"/>
              </w:rPr>
            </w:pPr>
            <w:r w:rsidRPr="00AE0D77">
              <w:rPr>
                <w:rFonts w:eastAsia="標楷體"/>
              </w:rPr>
              <w:t>253.3</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12.1</w:t>
            </w:r>
          </w:p>
        </w:tc>
        <w:tc>
          <w:tcPr>
            <w:tcW w:w="1800" w:type="dxa"/>
            <w:tcBorders>
              <w:top w:val="nil"/>
              <w:left w:val="nil"/>
              <w:bottom w:val="nil"/>
              <w:right w:val="nil"/>
            </w:tcBorders>
            <w:vAlign w:val="center"/>
            <w:hideMark/>
          </w:tcPr>
          <w:p w:rsidR="00031355" w:rsidRPr="00AE0D77" w:rsidRDefault="00031355">
            <w:pPr>
              <w:snapToGrid w:val="0"/>
              <w:spacing w:line="320" w:lineRule="exact"/>
              <w:ind w:right="536"/>
              <w:jc w:val="right"/>
              <w:rPr>
                <w:rFonts w:eastAsia="標楷體"/>
              </w:rPr>
            </w:pPr>
            <w:r w:rsidRPr="00AE0D77">
              <w:rPr>
                <w:rFonts w:eastAsia="標楷體"/>
              </w:rPr>
              <w:t>210.2</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2.8</w:t>
            </w:r>
          </w:p>
        </w:tc>
        <w:tc>
          <w:tcPr>
            <w:tcW w:w="1460" w:type="dxa"/>
            <w:tcBorders>
              <w:top w:val="nil"/>
              <w:left w:val="nil"/>
              <w:bottom w:val="nil"/>
              <w:right w:val="nil"/>
            </w:tcBorders>
            <w:vAlign w:val="center"/>
            <w:hideMark/>
          </w:tcPr>
          <w:p w:rsidR="00031355" w:rsidRPr="00AE0D77" w:rsidRDefault="00031355">
            <w:pPr>
              <w:snapToGrid w:val="0"/>
              <w:spacing w:line="320" w:lineRule="exact"/>
              <w:ind w:right="460"/>
              <w:jc w:val="right"/>
              <w:rPr>
                <w:rFonts w:eastAsia="標楷體"/>
              </w:rPr>
            </w:pPr>
            <w:r w:rsidRPr="00AE0D77">
              <w:rPr>
                <w:rFonts w:eastAsia="標楷體"/>
              </w:rPr>
              <w:t>43.1</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12</w:t>
            </w:r>
            <w:r w:rsidRPr="00AE0D77">
              <w:rPr>
                <w:rFonts w:eastAsia="標楷體"/>
              </w:rPr>
              <w:t>月</w:t>
            </w:r>
          </w:p>
        </w:tc>
        <w:tc>
          <w:tcPr>
            <w:tcW w:w="1800" w:type="dxa"/>
            <w:tcBorders>
              <w:top w:val="nil"/>
              <w:left w:val="single" w:sz="4" w:space="0" w:color="auto"/>
              <w:bottom w:val="nil"/>
              <w:right w:val="nil"/>
            </w:tcBorders>
            <w:vAlign w:val="bottom"/>
            <w:hideMark/>
          </w:tcPr>
          <w:p w:rsidR="00031355" w:rsidRPr="00AE0D77" w:rsidRDefault="00031355">
            <w:pPr>
              <w:snapToGrid w:val="0"/>
              <w:spacing w:line="320" w:lineRule="exact"/>
              <w:ind w:right="480"/>
              <w:jc w:val="right"/>
              <w:rPr>
                <w:rFonts w:eastAsia="標楷體"/>
              </w:rPr>
            </w:pPr>
            <w:r w:rsidRPr="00AE0D77">
              <w:rPr>
                <w:rFonts w:eastAsia="標楷體"/>
              </w:rPr>
              <w:t>257.0</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 xml:space="preserve"> 14.0</w:t>
            </w:r>
          </w:p>
        </w:tc>
        <w:tc>
          <w:tcPr>
            <w:tcW w:w="1800" w:type="dxa"/>
            <w:tcBorders>
              <w:top w:val="nil"/>
              <w:left w:val="nil"/>
              <w:bottom w:val="nil"/>
              <w:right w:val="nil"/>
            </w:tcBorders>
            <w:vAlign w:val="bottom"/>
            <w:hideMark/>
          </w:tcPr>
          <w:p w:rsidR="00031355" w:rsidRPr="00AE0D77" w:rsidRDefault="00031355">
            <w:pPr>
              <w:snapToGrid w:val="0"/>
              <w:spacing w:line="320" w:lineRule="exact"/>
              <w:ind w:right="536"/>
              <w:jc w:val="right"/>
              <w:rPr>
                <w:rFonts w:eastAsia="標楷體"/>
              </w:rPr>
            </w:pPr>
            <w:r w:rsidRPr="00AE0D77">
              <w:rPr>
                <w:rFonts w:eastAsia="標楷體"/>
              </w:rPr>
              <w:t>208.4</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 xml:space="preserve"> 13.2</w:t>
            </w:r>
          </w:p>
        </w:tc>
        <w:tc>
          <w:tcPr>
            <w:tcW w:w="1460" w:type="dxa"/>
            <w:tcBorders>
              <w:top w:val="nil"/>
              <w:left w:val="nil"/>
              <w:bottom w:val="nil"/>
              <w:right w:val="nil"/>
            </w:tcBorders>
            <w:vAlign w:val="bottom"/>
            <w:hideMark/>
          </w:tcPr>
          <w:p w:rsidR="00031355" w:rsidRPr="00AE0D77" w:rsidRDefault="00031355">
            <w:pPr>
              <w:snapToGrid w:val="0"/>
              <w:spacing w:line="320" w:lineRule="exact"/>
              <w:ind w:right="460"/>
              <w:jc w:val="right"/>
              <w:rPr>
                <w:rFonts w:eastAsia="標楷體"/>
              </w:rPr>
            </w:pPr>
            <w:r w:rsidRPr="00AE0D77">
              <w:rPr>
                <w:rFonts w:eastAsia="標楷體"/>
              </w:rPr>
              <w:t>48.6</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106</w:t>
            </w:r>
            <w:r w:rsidRPr="00AE0D77">
              <w:rPr>
                <w:rFonts w:eastAsia="標楷體"/>
                <w:b/>
                <w:bCs/>
              </w:rPr>
              <w:t>年</w:t>
            </w:r>
            <w:r w:rsidRPr="00AE0D77">
              <w:rPr>
                <w:rFonts w:eastAsia="標楷體"/>
                <w:b/>
                <w:bCs/>
              </w:rPr>
              <w:t>1~5</w:t>
            </w:r>
            <w:r w:rsidRPr="00AE0D77">
              <w:rPr>
                <w:rFonts w:eastAsia="標楷體"/>
                <w:b/>
                <w:bCs/>
              </w:rPr>
              <w:t>月</w:t>
            </w:r>
          </w:p>
        </w:tc>
        <w:tc>
          <w:tcPr>
            <w:tcW w:w="1800" w:type="dxa"/>
            <w:tcBorders>
              <w:top w:val="nil"/>
              <w:left w:val="single" w:sz="4" w:space="0" w:color="auto"/>
              <w:bottom w:val="nil"/>
              <w:right w:val="nil"/>
            </w:tcBorders>
            <w:vAlign w:val="bottom"/>
            <w:hideMark/>
          </w:tcPr>
          <w:p w:rsidR="00031355" w:rsidRPr="00AE0D77" w:rsidRDefault="00031355">
            <w:pPr>
              <w:snapToGrid w:val="0"/>
              <w:spacing w:line="320" w:lineRule="exact"/>
              <w:ind w:right="480"/>
              <w:jc w:val="right"/>
              <w:rPr>
                <w:rFonts w:eastAsia="標楷體"/>
                <w:b/>
              </w:rPr>
            </w:pPr>
            <w:r w:rsidRPr="00AE0D77">
              <w:rPr>
                <w:rFonts w:eastAsia="標楷體"/>
                <w:b/>
              </w:rPr>
              <w:t>1,219.3</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b/>
              </w:rPr>
            </w:pPr>
            <w:r w:rsidRPr="00AE0D77">
              <w:rPr>
                <w:rFonts w:eastAsia="標楷體"/>
                <w:b/>
              </w:rPr>
              <w:t>12.5</w:t>
            </w:r>
          </w:p>
        </w:tc>
        <w:tc>
          <w:tcPr>
            <w:tcW w:w="1800" w:type="dxa"/>
            <w:tcBorders>
              <w:top w:val="nil"/>
              <w:left w:val="nil"/>
              <w:bottom w:val="nil"/>
              <w:right w:val="nil"/>
            </w:tcBorders>
            <w:vAlign w:val="bottom"/>
            <w:hideMark/>
          </w:tcPr>
          <w:p w:rsidR="00031355" w:rsidRPr="00AE0D77" w:rsidRDefault="00031355">
            <w:pPr>
              <w:snapToGrid w:val="0"/>
              <w:spacing w:line="320" w:lineRule="exact"/>
              <w:ind w:right="536"/>
              <w:jc w:val="right"/>
              <w:rPr>
                <w:rFonts w:eastAsia="標楷體"/>
                <w:b/>
              </w:rPr>
            </w:pPr>
            <w:r w:rsidRPr="00AE0D77">
              <w:rPr>
                <w:rFonts w:eastAsia="標楷體"/>
                <w:b/>
              </w:rPr>
              <w:t>1,049.0</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b/>
              </w:rPr>
            </w:pPr>
            <w:r w:rsidRPr="00AE0D77">
              <w:rPr>
                <w:rFonts w:eastAsia="標楷體"/>
                <w:b/>
              </w:rPr>
              <w:t>19.4</w:t>
            </w:r>
          </w:p>
        </w:tc>
        <w:tc>
          <w:tcPr>
            <w:tcW w:w="1460" w:type="dxa"/>
            <w:tcBorders>
              <w:top w:val="nil"/>
              <w:left w:val="nil"/>
              <w:bottom w:val="nil"/>
              <w:right w:val="nil"/>
            </w:tcBorders>
            <w:vAlign w:val="bottom"/>
            <w:hideMark/>
          </w:tcPr>
          <w:p w:rsidR="00031355" w:rsidRPr="00AE0D77" w:rsidRDefault="00031355">
            <w:pPr>
              <w:snapToGrid w:val="0"/>
              <w:spacing w:line="320" w:lineRule="exact"/>
              <w:ind w:right="460"/>
              <w:jc w:val="right"/>
              <w:rPr>
                <w:rFonts w:eastAsia="標楷體"/>
                <w:b/>
              </w:rPr>
            </w:pPr>
            <w:r w:rsidRPr="00AE0D77">
              <w:rPr>
                <w:rFonts w:eastAsia="標楷體"/>
                <w:b/>
              </w:rPr>
              <w:t>170.3</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1</w:t>
            </w:r>
            <w:r w:rsidRPr="00AE0D77">
              <w:rPr>
                <w:rFonts w:eastAsia="標楷體"/>
                <w:bCs/>
              </w:rPr>
              <w:t>月</w:t>
            </w:r>
          </w:p>
        </w:tc>
        <w:tc>
          <w:tcPr>
            <w:tcW w:w="1800" w:type="dxa"/>
            <w:tcBorders>
              <w:top w:val="nil"/>
              <w:left w:val="single" w:sz="4" w:space="0" w:color="auto"/>
              <w:bottom w:val="nil"/>
              <w:right w:val="nil"/>
            </w:tcBorders>
            <w:vAlign w:val="bottom"/>
            <w:hideMark/>
          </w:tcPr>
          <w:p w:rsidR="00031355" w:rsidRPr="00AE0D77" w:rsidRDefault="00031355">
            <w:pPr>
              <w:snapToGrid w:val="0"/>
              <w:spacing w:line="320" w:lineRule="exact"/>
              <w:ind w:right="480"/>
              <w:jc w:val="right"/>
              <w:rPr>
                <w:rFonts w:eastAsia="標楷體"/>
              </w:rPr>
            </w:pPr>
            <w:r w:rsidRPr="00AE0D77">
              <w:rPr>
                <w:rFonts w:eastAsia="標楷體"/>
              </w:rPr>
              <w:t>237.4</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7.0</w:t>
            </w:r>
          </w:p>
        </w:tc>
        <w:tc>
          <w:tcPr>
            <w:tcW w:w="1800" w:type="dxa"/>
            <w:tcBorders>
              <w:top w:val="nil"/>
              <w:left w:val="nil"/>
              <w:bottom w:val="nil"/>
              <w:right w:val="nil"/>
            </w:tcBorders>
            <w:vAlign w:val="bottom"/>
            <w:hideMark/>
          </w:tcPr>
          <w:p w:rsidR="00031355" w:rsidRPr="00AE0D77" w:rsidRDefault="00031355">
            <w:pPr>
              <w:snapToGrid w:val="0"/>
              <w:spacing w:line="320" w:lineRule="exact"/>
              <w:ind w:right="536"/>
              <w:jc w:val="right"/>
              <w:rPr>
                <w:rFonts w:eastAsia="標楷體"/>
              </w:rPr>
            </w:pPr>
            <w:r w:rsidRPr="00AE0D77">
              <w:rPr>
                <w:rFonts w:eastAsia="標楷體"/>
              </w:rPr>
              <w:t>202.5</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8.6</w:t>
            </w:r>
          </w:p>
        </w:tc>
        <w:tc>
          <w:tcPr>
            <w:tcW w:w="1460" w:type="dxa"/>
            <w:tcBorders>
              <w:top w:val="nil"/>
              <w:left w:val="nil"/>
              <w:bottom w:val="nil"/>
              <w:right w:val="nil"/>
            </w:tcBorders>
            <w:vAlign w:val="bottom"/>
            <w:hideMark/>
          </w:tcPr>
          <w:p w:rsidR="00031355" w:rsidRPr="00AE0D77" w:rsidRDefault="00031355">
            <w:pPr>
              <w:snapToGrid w:val="0"/>
              <w:spacing w:line="320" w:lineRule="exact"/>
              <w:ind w:right="460"/>
              <w:jc w:val="right"/>
              <w:rPr>
                <w:rFonts w:eastAsia="標楷體"/>
              </w:rPr>
            </w:pPr>
            <w:r w:rsidRPr="00AE0D77">
              <w:rPr>
                <w:rFonts w:eastAsia="標楷體"/>
              </w:rPr>
              <w:t>35.0</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2</w:t>
            </w:r>
            <w:r w:rsidRPr="00AE0D77">
              <w:rPr>
                <w:rFonts w:eastAsia="標楷體"/>
              </w:rPr>
              <w:t>月</w:t>
            </w:r>
          </w:p>
        </w:tc>
        <w:tc>
          <w:tcPr>
            <w:tcW w:w="1800" w:type="dxa"/>
            <w:tcBorders>
              <w:top w:val="nil"/>
              <w:left w:val="single" w:sz="4" w:space="0" w:color="auto"/>
              <w:bottom w:val="nil"/>
              <w:right w:val="nil"/>
            </w:tcBorders>
            <w:vAlign w:val="bottom"/>
            <w:hideMark/>
          </w:tcPr>
          <w:p w:rsidR="00031355" w:rsidRPr="00AE0D77" w:rsidRDefault="00031355">
            <w:pPr>
              <w:snapToGrid w:val="0"/>
              <w:spacing w:line="320" w:lineRule="exact"/>
              <w:ind w:right="480"/>
              <w:jc w:val="right"/>
              <w:rPr>
                <w:rFonts w:eastAsia="標楷體"/>
              </w:rPr>
            </w:pPr>
            <w:r w:rsidRPr="00AE0D77">
              <w:rPr>
                <w:rFonts w:eastAsia="標楷體"/>
              </w:rPr>
              <w:t>226.5</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27.6</w:t>
            </w:r>
          </w:p>
        </w:tc>
        <w:tc>
          <w:tcPr>
            <w:tcW w:w="1800" w:type="dxa"/>
            <w:tcBorders>
              <w:top w:val="nil"/>
              <w:left w:val="nil"/>
              <w:bottom w:val="nil"/>
              <w:right w:val="nil"/>
            </w:tcBorders>
            <w:vAlign w:val="bottom"/>
            <w:hideMark/>
          </w:tcPr>
          <w:p w:rsidR="00031355" w:rsidRPr="00AE0D77" w:rsidRDefault="00031355">
            <w:pPr>
              <w:snapToGrid w:val="0"/>
              <w:spacing w:line="320" w:lineRule="exact"/>
              <w:ind w:right="536"/>
              <w:jc w:val="right"/>
              <w:rPr>
                <w:rFonts w:eastAsia="標楷體"/>
              </w:rPr>
            </w:pPr>
            <w:r w:rsidRPr="00AE0D77">
              <w:rPr>
                <w:rFonts w:eastAsia="標楷體"/>
              </w:rPr>
              <w:t>193.0</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42.1</w:t>
            </w:r>
          </w:p>
        </w:tc>
        <w:tc>
          <w:tcPr>
            <w:tcW w:w="1460" w:type="dxa"/>
            <w:tcBorders>
              <w:top w:val="nil"/>
              <w:left w:val="nil"/>
              <w:bottom w:val="nil"/>
              <w:right w:val="nil"/>
            </w:tcBorders>
            <w:vAlign w:val="bottom"/>
            <w:hideMark/>
          </w:tcPr>
          <w:p w:rsidR="00031355" w:rsidRPr="00AE0D77" w:rsidRDefault="00031355">
            <w:pPr>
              <w:snapToGrid w:val="0"/>
              <w:spacing w:line="320" w:lineRule="exact"/>
              <w:ind w:right="460"/>
              <w:jc w:val="right"/>
              <w:rPr>
                <w:rFonts w:eastAsia="標楷體"/>
              </w:rPr>
            </w:pPr>
            <w:r w:rsidRPr="00AE0D77">
              <w:rPr>
                <w:rFonts w:eastAsia="標楷體"/>
              </w:rPr>
              <w:t>33.4</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3</w:t>
            </w:r>
            <w:r w:rsidRPr="00AE0D77">
              <w:rPr>
                <w:rFonts w:eastAsia="標楷體"/>
              </w:rPr>
              <w:t>月</w:t>
            </w:r>
          </w:p>
        </w:tc>
        <w:tc>
          <w:tcPr>
            <w:tcW w:w="1800" w:type="dxa"/>
            <w:tcBorders>
              <w:top w:val="nil"/>
              <w:left w:val="single" w:sz="4" w:space="0" w:color="auto"/>
              <w:bottom w:val="nil"/>
              <w:right w:val="nil"/>
            </w:tcBorders>
            <w:vAlign w:val="bottom"/>
            <w:hideMark/>
          </w:tcPr>
          <w:p w:rsidR="00031355" w:rsidRPr="00AE0D77" w:rsidRDefault="00031355">
            <w:pPr>
              <w:snapToGrid w:val="0"/>
              <w:spacing w:line="320" w:lineRule="exact"/>
              <w:ind w:right="480"/>
              <w:jc w:val="right"/>
              <w:rPr>
                <w:rFonts w:eastAsia="標楷體"/>
              </w:rPr>
            </w:pPr>
            <w:r w:rsidRPr="00AE0D77">
              <w:rPr>
                <w:rFonts w:eastAsia="標楷體"/>
              </w:rPr>
              <w:t>257.0</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13.1</w:t>
            </w:r>
          </w:p>
        </w:tc>
        <w:tc>
          <w:tcPr>
            <w:tcW w:w="1800" w:type="dxa"/>
            <w:tcBorders>
              <w:top w:val="nil"/>
              <w:left w:val="nil"/>
              <w:bottom w:val="nil"/>
              <w:right w:val="nil"/>
            </w:tcBorders>
            <w:vAlign w:val="bottom"/>
            <w:hideMark/>
          </w:tcPr>
          <w:p w:rsidR="00031355" w:rsidRPr="00AE0D77" w:rsidRDefault="00031355">
            <w:pPr>
              <w:snapToGrid w:val="0"/>
              <w:spacing w:line="320" w:lineRule="exact"/>
              <w:ind w:right="536"/>
              <w:jc w:val="right"/>
              <w:rPr>
                <w:rFonts w:eastAsia="標楷體"/>
              </w:rPr>
            </w:pPr>
            <w:r w:rsidRPr="00AE0D77">
              <w:rPr>
                <w:rFonts w:eastAsia="標楷體"/>
              </w:rPr>
              <w:t>217.5</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19.6</w:t>
            </w:r>
          </w:p>
        </w:tc>
        <w:tc>
          <w:tcPr>
            <w:tcW w:w="1460" w:type="dxa"/>
            <w:tcBorders>
              <w:top w:val="nil"/>
              <w:left w:val="nil"/>
              <w:bottom w:val="nil"/>
              <w:right w:val="nil"/>
            </w:tcBorders>
            <w:vAlign w:val="bottom"/>
            <w:hideMark/>
          </w:tcPr>
          <w:p w:rsidR="00031355" w:rsidRPr="00AE0D77" w:rsidRDefault="00031355">
            <w:pPr>
              <w:snapToGrid w:val="0"/>
              <w:spacing w:line="320" w:lineRule="exact"/>
              <w:ind w:right="460"/>
              <w:jc w:val="right"/>
              <w:rPr>
                <w:rFonts w:eastAsia="標楷體"/>
              </w:rPr>
            </w:pPr>
            <w:r w:rsidRPr="00AE0D77">
              <w:rPr>
                <w:rFonts w:eastAsia="標楷體"/>
              </w:rPr>
              <w:t>39.3</w:t>
            </w:r>
          </w:p>
        </w:tc>
      </w:tr>
      <w:tr w:rsidR="00031355" w:rsidRPr="00AE0D77" w:rsidTr="00031355">
        <w:trPr>
          <w:trHeight w:val="351"/>
        </w:trPr>
        <w:tc>
          <w:tcPr>
            <w:tcW w:w="1544" w:type="dxa"/>
            <w:tcBorders>
              <w:top w:val="nil"/>
              <w:left w:val="nil"/>
              <w:bottom w:val="nil"/>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4</w:t>
            </w:r>
            <w:r w:rsidRPr="00AE0D77">
              <w:rPr>
                <w:rFonts w:eastAsia="標楷體"/>
                <w:bCs/>
              </w:rPr>
              <w:t>月</w:t>
            </w:r>
          </w:p>
        </w:tc>
        <w:tc>
          <w:tcPr>
            <w:tcW w:w="1800" w:type="dxa"/>
            <w:tcBorders>
              <w:top w:val="nil"/>
              <w:left w:val="single" w:sz="4" w:space="0" w:color="auto"/>
              <w:bottom w:val="nil"/>
              <w:right w:val="nil"/>
            </w:tcBorders>
            <w:vAlign w:val="bottom"/>
            <w:hideMark/>
          </w:tcPr>
          <w:p w:rsidR="00031355" w:rsidRPr="00AE0D77" w:rsidRDefault="00031355">
            <w:pPr>
              <w:snapToGrid w:val="0"/>
              <w:spacing w:line="320" w:lineRule="exact"/>
              <w:ind w:right="480"/>
              <w:jc w:val="right"/>
              <w:rPr>
                <w:rFonts w:eastAsia="標楷體"/>
              </w:rPr>
            </w:pPr>
            <w:r w:rsidRPr="00AE0D77">
              <w:rPr>
                <w:rFonts w:eastAsia="標楷體"/>
              </w:rPr>
              <w:t>243.2</w:t>
            </w:r>
          </w:p>
        </w:tc>
        <w:tc>
          <w:tcPr>
            <w:tcW w:w="1233" w:type="dxa"/>
            <w:tcBorders>
              <w:top w:val="nil"/>
              <w:left w:val="nil"/>
              <w:bottom w:val="nil"/>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9.4</w:t>
            </w:r>
          </w:p>
        </w:tc>
        <w:tc>
          <w:tcPr>
            <w:tcW w:w="1800" w:type="dxa"/>
            <w:tcBorders>
              <w:top w:val="nil"/>
              <w:left w:val="nil"/>
              <w:bottom w:val="nil"/>
              <w:right w:val="nil"/>
            </w:tcBorders>
            <w:vAlign w:val="bottom"/>
            <w:hideMark/>
          </w:tcPr>
          <w:p w:rsidR="00031355" w:rsidRPr="00AE0D77" w:rsidRDefault="00031355">
            <w:pPr>
              <w:snapToGrid w:val="0"/>
              <w:spacing w:line="320" w:lineRule="exact"/>
              <w:ind w:right="536"/>
              <w:jc w:val="right"/>
              <w:rPr>
                <w:rFonts w:eastAsia="標楷體"/>
              </w:rPr>
            </w:pPr>
            <w:r w:rsidRPr="00AE0D77">
              <w:rPr>
                <w:rFonts w:eastAsia="標楷體"/>
              </w:rPr>
              <w:t>215.3</w:t>
            </w:r>
          </w:p>
        </w:tc>
        <w:tc>
          <w:tcPr>
            <w:tcW w:w="1440" w:type="dxa"/>
            <w:tcBorders>
              <w:top w:val="nil"/>
              <w:left w:val="nil"/>
              <w:bottom w:val="nil"/>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23.5</w:t>
            </w:r>
          </w:p>
        </w:tc>
        <w:tc>
          <w:tcPr>
            <w:tcW w:w="1460" w:type="dxa"/>
            <w:tcBorders>
              <w:top w:val="nil"/>
              <w:left w:val="nil"/>
              <w:bottom w:val="nil"/>
              <w:right w:val="nil"/>
            </w:tcBorders>
            <w:vAlign w:val="bottom"/>
            <w:hideMark/>
          </w:tcPr>
          <w:p w:rsidR="00031355" w:rsidRPr="00AE0D77" w:rsidRDefault="00031355">
            <w:pPr>
              <w:snapToGrid w:val="0"/>
              <w:spacing w:line="320" w:lineRule="exact"/>
              <w:ind w:right="460"/>
              <w:jc w:val="right"/>
              <w:rPr>
                <w:rFonts w:eastAsia="標楷體"/>
              </w:rPr>
            </w:pPr>
            <w:r w:rsidRPr="00AE0D77">
              <w:rPr>
                <w:rFonts w:eastAsia="標楷體"/>
              </w:rPr>
              <w:t>27.8</w:t>
            </w:r>
          </w:p>
        </w:tc>
      </w:tr>
      <w:tr w:rsidR="00031355" w:rsidRPr="00AE0D77" w:rsidTr="00031355">
        <w:trPr>
          <w:trHeight w:val="351"/>
        </w:trPr>
        <w:tc>
          <w:tcPr>
            <w:tcW w:w="1544" w:type="dxa"/>
            <w:tcBorders>
              <w:top w:val="nil"/>
              <w:left w:val="nil"/>
              <w:bottom w:val="single" w:sz="4" w:space="0" w:color="auto"/>
              <w:right w:val="single" w:sz="4" w:space="0" w:color="auto"/>
            </w:tcBorders>
            <w:hideMark/>
          </w:tcPr>
          <w:p w:rsidR="00031355" w:rsidRPr="00AE0D77" w:rsidRDefault="000313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bCs/>
              </w:rPr>
              <w:t>5</w:t>
            </w:r>
            <w:r w:rsidRPr="00AE0D77">
              <w:rPr>
                <w:rFonts w:eastAsia="標楷體"/>
                <w:bCs/>
              </w:rPr>
              <w:t>月</w:t>
            </w:r>
          </w:p>
        </w:tc>
        <w:tc>
          <w:tcPr>
            <w:tcW w:w="1800" w:type="dxa"/>
            <w:tcBorders>
              <w:top w:val="nil"/>
              <w:left w:val="single" w:sz="4" w:space="0" w:color="auto"/>
              <w:bottom w:val="single" w:sz="4" w:space="0" w:color="auto"/>
              <w:right w:val="nil"/>
            </w:tcBorders>
            <w:vAlign w:val="bottom"/>
            <w:hideMark/>
          </w:tcPr>
          <w:p w:rsidR="00031355" w:rsidRPr="00AE0D77" w:rsidRDefault="00031355">
            <w:pPr>
              <w:snapToGrid w:val="0"/>
              <w:spacing w:line="320" w:lineRule="exact"/>
              <w:ind w:right="480"/>
              <w:jc w:val="right"/>
              <w:rPr>
                <w:rFonts w:eastAsia="標楷體"/>
              </w:rPr>
            </w:pPr>
            <w:r w:rsidRPr="00AE0D77">
              <w:rPr>
                <w:rFonts w:eastAsia="標楷體"/>
              </w:rPr>
              <w:t>255.2</w:t>
            </w:r>
          </w:p>
        </w:tc>
        <w:tc>
          <w:tcPr>
            <w:tcW w:w="1233" w:type="dxa"/>
            <w:tcBorders>
              <w:top w:val="nil"/>
              <w:left w:val="nil"/>
              <w:bottom w:val="single" w:sz="4" w:space="0" w:color="auto"/>
              <w:right w:val="nil"/>
            </w:tcBorders>
            <w:vAlign w:val="center"/>
            <w:hideMark/>
          </w:tcPr>
          <w:p w:rsidR="00031355" w:rsidRPr="00AE0D77" w:rsidRDefault="00031355">
            <w:pPr>
              <w:snapToGrid w:val="0"/>
              <w:spacing w:line="320" w:lineRule="exact"/>
              <w:ind w:right="296"/>
              <w:jc w:val="right"/>
              <w:rPr>
                <w:rFonts w:eastAsia="標楷體"/>
              </w:rPr>
            </w:pPr>
            <w:r w:rsidRPr="00AE0D77">
              <w:rPr>
                <w:rFonts w:eastAsia="標楷體"/>
              </w:rPr>
              <w:t>8.4</w:t>
            </w:r>
          </w:p>
        </w:tc>
        <w:tc>
          <w:tcPr>
            <w:tcW w:w="1800" w:type="dxa"/>
            <w:tcBorders>
              <w:top w:val="nil"/>
              <w:left w:val="nil"/>
              <w:bottom w:val="single" w:sz="4" w:space="0" w:color="auto"/>
              <w:right w:val="nil"/>
            </w:tcBorders>
            <w:vAlign w:val="bottom"/>
            <w:hideMark/>
          </w:tcPr>
          <w:p w:rsidR="00031355" w:rsidRPr="00AE0D77" w:rsidRDefault="00031355">
            <w:pPr>
              <w:snapToGrid w:val="0"/>
              <w:spacing w:line="320" w:lineRule="exact"/>
              <w:ind w:right="536"/>
              <w:jc w:val="right"/>
              <w:rPr>
                <w:rFonts w:eastAsia="標楷體"/>
              </w:rPr>
            </w:pPr>
            <w:r w:rsidRPr="00AE0D77">
              <w:rPr>
                <w:rFonts w:eastAsia="標楷體"/>
              </w:rPr>
              <w:t>220.7</w:t>
            </w:r>
          </w:p>
        </w:tc>
        <w:tc>
          <w:tcPr>
            <w:tcW w:w="1440" w:type="dxa"/>
            <w:tcBorders>
              <w:top w:val="nil"/>
              <w:left w:val="nil"/>
              <w:bottom w:val="single" w:sz="4" w:space="0" w:color="auto"/>
              <w:right w:val="nil"/>
            </w:tcBorders>
            <w:vAlign w:val="center"/>
            <w:hideMark/>
          </w:tcPr>
          <w:p w:rsidR="00031355" w:rsidRPr="00AE0D77" w:rsidRDefault="00031355">
            <w:pPr>
              <w:snapToGrid w:val="0"/>
              <w:spacing w:line="320" w:lineRule="exact"/>
              <w:ind w:right="417"/>
              <w:jc w:val="right"/>
              <w:rPr>
                <w:rFonts w:eastAsia="標楷體"/>
              </w:rPr>
            </w:pPr>
            <w:r w:rsidRPr="00AE0D77">
              <w:rPr>
                <w:rFonts w:eastAsia="標楷體"/>
              </w:rPr>
              <w:t>10.2</w:t>
            </w:r>
          </w:p>
        </w:tc>
        <w:tc>
          <w:tcPr>
            <w:tcW w:w="1460" w:type="dxa"/>
            <w:tcBorders>
              <w:top w:val="nil"/>
              <w:left w:val="nil"/>
              <w:bottom w:val="single" w:sz="4" w:space="0" w:color="auto"/>
              <w:right w:val="nil"/>
            </w:tcBorders>
            <w:vAlign w:val="bottom"/>
            <w:hideMark/>
          </w:tcPr>
          <w:p w:rsidR="00031355" w:rsidRPr="00AE0D77" w:rsidRDefault="00031355">
            <w:pPr>
              <w:snapToGrid w:val="0"/>
              <w:spacing w:line="320" w:lineRule="exact"/>
              <w:ind w:right="460"/>
              <w:jc w:val="right"/>
              <w:rPr>
                <w:rFonts w:eastAsia="標楷體"/>
              </w:rPr>
            </w:pPr>
            <w:r w:rsidRPr="00AE0D77">
              <w:rPr>
                <w:rFonts w:eastAsia="標楷體"/>
              </w:rPr>
              <w:t>34.6</w:t>
            </w:r>
          </w:p>
        </w:tc>
      </w:tr>
    </w:tbl>
    <w:p w:rsidR="00F67965" w:rsidRPr="00AE0D77" w:rsidRDefault="00F67965" w:rsidP="00C13EC3">
      <w:pPr>
        <w:spacing w:line="320" w:lineRule="exact"/>
        <w:ind w:left="642" w:rightChars="-187" w:right="-449" w:hangingChars="292" w:hanging="642"/>
        <w:rPr>
          <w:rFonts w:eastAsia="標楷體"/>
          <w:sz w:val="22"/>
          <w:szCs w:val="22"/>
        </w:rPr>
      </w:pPr>
      <w:r w:rsidRPr="00AE0D77">
        <w:rPr>
          <w:rFonts w:eastAsia="標楷體"/>
          <w:sz w:val="22"/>
          <w:szCs w:val="22"/>
        </w:rPr>
        <w:t>註：</w:t>
      </w:r>
      <w:r w:rsidRPr="00AE0D77">
        <w:rPr>
          <w:rFonts w:eastAsia="標楷體"/>
          <w:sz w:val="22"/>
          <w:szCs w:val="22"/>
        </w:rPr>
        <w:t>1.</w:t>
      </w:r>
      <w:r w:rsidRPr="00AE0D77">
        <w:rPr>
          <w:rFonts w:eastAsia="標楷體"/>
          <w:sz w:val="22"/>
          <w:szCs w:val="22"/>
        </w:rPr>
        <w:t>自</w:t>
      </w:r>
      <w:r w:rsidRPr="00AE0D77">
        <w:rPr>
          <w:rFonts w:eastAsia="標楷體"/>
          <w:sz w:val="22"/>
          <w:szCs w:val="22"/>
        </w:rPr>
        <w:t>95</w:t>
      </w:r>
      <w:r w:rsidRPr="00AE0D77">
        <w:rPr>
          <w:rFonts w:eastAsia="標楷體"/>
          <w:sz w:val="22"/>
          <w:szCs w:val="22"/>
        </w:rPr>
        <w:t>年</w:t>
      </w:r>
      <w:r w:rsidRPr="00AE0D77">
        <w:rPr>
          <w:rFonts w:eastAsia="標楷體"/>
          <w:sz w:val="22"/>
          <w:szCs w:val="22"/>
        </w:rPr>
        <w:t>1</w:t>
      </w:r>
      <w:r w:rsidRPr="00AE0D77">
        <w:rPr>
          <w:rFonts w:eastAsia="標楷體"/>
          <w:sz w:val="22"/>
          <w:szCs w:val="22"/>
        </w:rPr>
        <w:t>月起，進出口貿易統計改依聯合國</w:t>
      </w:r>
      <w:r w:rsidRPr="00AE0D77">
        <w:rPr>
          <w:rFonts w:eastAsia="標楷體"/>
          <w:sz w:val="22"/>
          <w:szCs w:val="22"/>
        </w:rPr>
        <w:t>2004</w:t>
      </w:r>
      <w:r w:rsidRPr="00AE0D77">
        <w:rPr>
          <w:rFonts w:eastAsia="標楷體"/>
          <w:sz w:val="22"/>
          <w:szCs w:val="22"/>
        </w:rPr>
        <w:t>年版「國際商品貿易統計手冊」規範之準則編布，出口及進口總值改採「出口總值＝出口＋復出口」、「進口總值＝進口＋復進口」之編法列示。</w:t>
      </w:r>
    </w:p>
    <w:p w:rsidR="00F67965" w:rsidRPr="00AE0D77" w:rsidRDefault="00F67965" w:rsidP="00C13EC3">
      <w:pPr>
        <w:spacing w:line="320" w:lineRule="exact"/>
        <w:ind w:leftChars="177" w:left="612" w:rightChars="-187" w:right="-449" w:hangingChars="85" w:hanging="187"/>
        <w:rPr>
          <w:rFonts w:eastAsia="標楷體"/>
          <w:sz w:val="22"/>
          <w:szCs w:val="22"/>
        </w:rPr>
      </w:pPr>
      <w:r w:rsidRPr="00AE0D77">
        <w:rPr>
          <w:rFonts w:eastAsia="標楷體"/>
          <w:sz w:val="22"/>
          <w:szCs w:val="22"/>
        </w:rPr>
        <w:t>2.</w:t>
      </w:r>
      <w:r w:rsidRPr="00AE0D77">
        <w:rPr>
          <w:rFonts w:eastAsia="標楷體"/>
          <w:sz w:val="22"/>
          <w:szCs w:val="22"/>
        </w:rPr>
        <w:t>依據財政部定義，復出口：為外貨進口後因故退回或再轉售國外、或經簡易加工後再出口者。復進口：為國貨出口後因故退回或委外簡易加工後再進口。</w:t>
      </w:r>
    </w:p>
    <w:p w:rsidR="0001259C" w:rsidRPr="00AE0D77" w:rsidRDefault="0001259C" w:rsidP="0001259C">
      <w:pPr>
        <w:spacing w:line="320" w:lineRule="exact"/>
        <w:ind w:leftChars="177" w:left="612" w:rightChars="-187" w:right="-449" w:hangingChars="85" w:hanging="187"/>
        <w:rPr>
          <w:rFonts w:eastAsia="標楷體"/>
          <w:sz w:val="22"/>
          <w:szCs w:val="22"/>
        </w:rPr>
      </w:pPr>
      <w:r w:rsidRPr="00AE0D77">
        <w:rPr>
          <w:rFonts w:eastAsia="標楷體"/>
          <w:sz w:val="22"/>
          <w:szCs w:val="22"/>
        </w:rPr>
        <w:t>3.</w:t>
      </w:r>
      <w:r w:rsidRPr="00AE0D77">
        <w:rPr>
          <w:rFonts w:eastAsia="標楷體"/>
          <w:sz w:val="22"/>
          <w:szCs w:val="22"/>
        </w:rPr>
        <w:t>為與國際接軌，我國進出口貿易統計自</w:t>
      </w:r>
      <w:r w:rsidRPr="00AE0D77">
        <w:rPr>
          <w:rFonts w:eastAsia="標楷體"/>
          <w:sz w:val="22"/>
          <w:szCs w:val="22"/>
        </w:rPr>
        <w:t xml:space="preserve"> 105 </w:t>
      </w:r>
      <w:r w:rsidRPr="00AE0D77">
        <w:rPr>
          <w:rFonts w:eastAsia="標楷體"/>
          <w:sz w:val="22"/>
          <w:szCs w:val="22"/>
        </w:rPr>
        <w:t>年起由廣義特殊貿制度改採一般貿易制度，納計自國外進儲自由貿易港區倉儲物流業或海關保稅倉庫、物流中心後，又自該區域運往國外之貨物，新制資料追溯</w:t>
      </w:r>
      <w:r w:rsidRPr="00AE0D77">
        <w:rPr>
          <w:rFonts w:eastAsia="標楷體"/>
          <w:sz w:val="22"/>
          <w:szCs w:val="22"/>
        </w:rPr>
        <w:t>(</w:t>
      </w:r>
      <w:r w:rsidRPr="00AE0D77">
        <w:rPr>
          <w:rFonts w:eastAsia="標楷體"/>
          <w:sz w:val="22"/>
          <w:szCs w:val="22"/>
        </w:rPr>
        <w:t>推估</w:t>
      </w:r>
      <w:r w:rsidRPr="00AE0D77">
        <w:rPr>
          <w:rFonts w:eastAsia="標楷體"/>
          <w:sz w:val="22"/>
          <w:szCs w:val="22"/>
        </w:rPr>
        <w:t>)</w:t>
      </w:r>
      <w:r w:rsidRPr="00AE0D77">
        <w:rPr>
          <w:rFonts w:eastAsia="標楷體"/>
          <w:sz w:val="22"/>
          <w:szCs w:val="22"/>
        </w:rPr>
        <w:t>至</w:t>
      </w:r>
      <w:r w:rsidRPr="00AE0D77">
        <w:rPr>
          <w:rFonts w:eastAsia="標楷體"/>
          <w:sz w:val="22"/>
          <w:szCs w:val="22"/>
        </w:rPr>
        <w:t>90</w:t>
      </w:r>
      <w:r w:rsidRPr="00AE0D77">
        <w:rPr>
          <w:rFonts w:eastAsia="標楷體"/>
          <w:sz w:val="22"/>
          <w:szCs w:val="22"/>
        </w:rPr>
        <w:t>年。</w:t>
      </w:r>
    </w:p>
    <w:p w:rsidR="00F67965" w:rsidRPr="00AE0D77" w:rsidRDefault="00F67965" w:rsidP="00F67965">
      <w:pPr>
        <w:spacing w:line="320" w:lineRule="exact"/>
        <w:rPr>
          <w:rFonts w:eastAsia="標楷體"/>
        </w:rPr>
      </w:pPr>
      <w:r w:rsidRPr="00AE0D77">
        <w:rPr>
          <w:rFonts w:eastAsia="標楷體"/>
          <w:sz w:val="22"/>
          <w:szCs w:val="22"/>
        </w:rPr>
        <w:t>資料來源：財政部進出口貿易統計。</w:t>
      </w:r>
    </w:p>
    <w:p w:rsidR="00F67965" w:rsidRPr="00AE0D77" w:rsidRDefault="00F67965" w:rsidP="00F67965">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AE0D77">
        <w:rPr>
          <w:rFonts w:eastAsia="標楷體"/>
          <w:b/>
          <w:bCs/>
          <w:kern w:val="0"/>
          <w:sz w:val="22"/>
          <w:szCs w:val="22"/>
        </w:rPr>
        <w:br w:type="page"/>
      </w:r>
      <w:r w:rsidRPr="00AE0D77">
        <w:rPr>
          <w:rFonts w:eastAsia="標楷體"/>
          <w:b/>
          <w:bCs/>
          <w:kern w:val="0"/>
          <w:sz w:val="28"/>
          <w:szCs w:val="20"/>
        </w:rPr>
        <w:t>２、</w:t>
      </w:r>
      <w:r w:rsidR="00031355" w:rsidRPr="00AE0D77">
        <w:rPr>
          <w:rFonts w:eastAsia="標楷體"/>
          <w:b/>
          <w:bCs/>
          <w:kern w:val="0"/>
          <w:sz w:val="28"/>
          <w:szCs w:val="20"/>
        </w:rPr>
        <w:t>106</w:t>
      </w:r>
      <w:r w:rsidR="00031355" w:rsidRPr="00AE0D77">
        <w:rPr>
          <w:rFonts w:eastAsia="標楷體"/>
          <w:b/>
          <w:bCs/>
          <w:kern w:val="0"/>
          <w:sz w:val="28"/>
          <w:szCs w:val="20"/>
        </w:rPr>
        <w:t>年</w:t>
      </w:r>
      <w:r w:rsidR="00031355" w:rsidRPr="00AE0D77">
        <w:rPr>
          <w:rFonts w:eastAsia="標楷體"/>
          <w:b/>
          <w:bCs/>
          <w:kern w:val="0"/>
          <w:sz w:val="28"/>
          <w:szCs w:val="20"/>
        </w:rPr>
        <w:t>5</w:t>
      </w:r>
      <w:r w:rsidR="00031355" w:rsidRPr="00AE0D77">
        <w:rPr>
          <w:rFonts w:eastAsia="標楷體"/>
          <w:b/>
          <w:bCs/>
          <w:kern w:val="0"/>
          <w:sz w:val="28"/>
          <w:szCs w:val="20"/>
        </w:rPr>
        <w:t>月我對主要國家</w:t>
      </w:r>
      <w:r w:rsidR="00031355" w:rsidRPr="00AE0D77">
        <w:rPr>
          <w:rFonts w:eastAsia="標楷體"/>
          <w:b/>
          <w:bCs/>
          <w:kern w:val="0"/>
          <w:sz w:val="28"/>
          <w:szCs w:val="20"/>
        </w:rPr>
        <w:t>(</w:t>
      </w:r>
      <w:r w:rsidR="00031355" w:rsidRPr="00AE0D77">
        <w:rPr>
          <w:rFonts w:eastAsia="標楷體"/>
          <w:b/>
          <w:bCs/>
          <w:kern w:val="0"/>
          <w:sz w:val="28"/>
          <w:szCs w:val="20"/>
        </w:rPr>
        <w:t>地區</w:t>
      </w:r>
      <w:r w:rsidR="00031355" w:rsidRPr="00AE0D77">
        <w:rPr>
          <w:rFonts w:eastAsia="標楷體"/>
          <w:b/>
          <w:bCs/>
          <w:kern w:val="0"/>
          <w:sz w:val="28"/>
          <w:szCs w:val="20"/>
        </w:rPr>
        <w:t>)</w:t>
      </w:r>
      <w:r w:rsidR="00031355" w:rsidRPr="00AE0D77">
        <w:rPr>
          <w:rFonts w:eastAsia="標楷體"/>
          <w:b/>
          <w:bCs/>
          <w:kern w:val="0"/>
          <w:sz w:val="28"/>
          <w:szCs w:val="20"/>
        </w:rPr>
        <w:t>出口增幅最多為巴西，進口為印度</w:t>
      </w:r>
    </w:p>
    <w:p w:rsidR="00031355" w:rsidRPr="00AE0D77" w:rsidRDefault="00031355" w:rsidP="00031355">
      <w:pPr>
        <w:numPr>
          <w:ilvl w:val="0"/>
          <w:numId w:val="3"/>
        </w:numPr>
        <w:snapToGrid w:val="0"/>
        <w:spacing w:beforeLines="50" w:before="180" w:line="300" w:lineRule="auto"/>
        <w:jc w:val="both"/>
        <w:rPr>
          <w:rFonts w:eastAsia="標楷體"/>
          <w:bCs/>
          <w:sz w:val="28"/>
          <w:szCs w:val="22"/>
        </w:rPr>
      </w:pPr>
      <w:r w:rsidRPr="00AE0D77">
        <w:rPr>
          <w:rFonts w:eastAsia="標楷體"/>
          <w:bCs/>
          <w:sz w:val="28"/>
          <w:szCs w:val="22"/>
        </w:rPr>
        <w:t>5</w:t>
      </w:r>
      <w:r w:rsidRPr="00AE0D77">
        <w:rPr>
          <w:rFonts w:eastAsia="標楷體"/>
          <w:bCs/>
          <w:sz w:val="28"/>
          <w:szCs w:val="22"/>
        </w:rPr>
        <w:t>月我對主要國家</w:t>
      </w:r>
      <w:r w:rsidRPr="00AE0D77">
        <w:rPr>
          <w:rFonts w:eastAsia="標楷體"/>
          <w:bCs/>
          <w:sz w:val="28"/>
          <w:szCs w:val="22"/>
        </w:rPr>
        <w:t>(</w:t>
      </w:r>
      <w:r w:rsidRPr="00AE0D77">
        <w:rPr>
          <w:rFonts w:eastAsia="標楷體"/>
          <w:bCs/>
          <w:sz w:val="28"/>
          <w:szCs w:val="22"/>
        </w:rPr>
        <w:t>地區</w:t>
      </w:r>
      <w:r w:rsidRPr="00AE0D77">
        <w:rPr>
          <w:rFonts w:eastAsia="標楷體"/>
          <w:bCs/>
          <w:sz w:val="28"/>
          <w:szCs w:val="22"/>
        </w:rPr>
        <w:t>)</w:t>
      </w:r>
      <w:r w:rsidRPr="00AE0D77">
        <w:rPr>
          <w:rFonts w:eastAsia="標楷體"/>
          <w:bCs/>
          <w:sz w:val="28"/>
          <w:szCs w:val="22"/>
        </w:rPr>
        <w:t>出口增幅最多為巴西，達</w:t>
      </w:r>
      <w:r w:rsidRPr="00AE0D77">
        <w:rPr>
          <w:rFonts w:eastAsia="標楷體"/>
          <w:bCs/>
          <w:sz w:val="28"/>
          <w:szCs w:val="22"/>
        </w:rPr>
        <w:t>41.9%</w:t>
      </w:r>
      <w:r w:rsidRPr="00AE0D77">
        <w:rPr>
          <w:rFonts w:eastAsia="標楷體"/>
          <w:bCs/>
          <w:sz w:val="28"/>
          <w:szCs w:val="22"/>
        </w:rPr>
        <w:t>；進口增幅最多為印度，達</w:t>
      </w:r>
      <w:r w:rsidRPr="00AE0D77">
        <w:rPr>
          <w:rFonts w:eastAsia="標楷體"/>
          <w:bCs/>
          <w:sz w:val="28"/>
          <w:szCs w:val="22"/>
        </w:rPr>
        <w:t>108.4%</w:t>
      </w:r>
      <w:r w:rsidRPr="00AE0D77">
        <w:rPr>
          <w:rFonts w:eastAsia="標楷體"/>
          <w:bCs/>
          <w:sz w:val="28"/>
          <w:szCs w:val="22"/>
        </w:rPr>
        <w:t>。</w:t>
      </w:r>
    </w:p>
    <w:p w:rsidR="00031355" w:rsidRPr="00AE0D77" w:rsidRDefault="00031355" w:rsidP="00031355">
      <w:pPr>
        <w:numPr>
          <w:ilvl w:val="0"/>
          <w:numId w:val="3"/>
        </w:numPr>
        <w:snapToGrid w:val="0"/>
        <w:spacing w:beforeLines="50" w:before="180" w:line="300" w:lineRule="auto"/>
        <w:jc w:val="both"/>
        <w:rPr>
          <w:rFonts w:eastAsia="標楷體"/>
          <w:bCs/>
          <w:sz w:val="28"/>
          <w:szCs w:val="22"/>
        </w:rPr>
      </w:pPr>
      <w:r w:rsidRPr="00AE0D77">
        <w:rPr>
          <w:rFonts w:eastAsia="標楷體"/>
          <w:bCs/>
          <w:sz w:val="28"/>
          <w:szCs w:val="22"/>
        </w:rPr>
        <w:t>5</w:t>
      </w:r>
      <w:r w:rsidRPr="00AE0D77">
        <w:rPr>
          <w:rFonts w:eastAsia="標楷體"/>
          <w:bCs/>
          <w:sz w:val="28"/>
          <w:szCs w:val="22"/>
        </w:rPr>
        <w:t>月我對主要貿易夥伴出口，除新加坡微幅減少</w:t>
      </w:r>
      <w:r w:rsidRPr="00AE0D77">
        <w:rPr>
          <w:rFonts w:eastAsia="標楷體"/>
          <w:bCs/>
          <w:sz w:val="28"/>
          <w:szCs w:val="22"/>
        </w:rPr>
        <w:t>0.5%</w:t>
      </w:r>
      <w:r w:rsidRPr="00AE0D77">
        <w:rPr>
          <w:rFonts w:eastAsia="標楷體"/>
          <w:bCs/>
          <w:sz w:val="28"/>
          <w:szCs w:val="22"/>
        </w:rPr>
        <w:t>外</w:t>
      </w:r>
      <w:r w:rsidR="00C5241D" w:rsidRPr="00AE0D77">
        <w:rPr>
          <w:rFonts w:eastAsia="標楷體"/>
          <w:bCs/>
          <w:sz w:val="28"/>
          <w:szCs w:val="22"/>
        </w:rPr>
        <w:t>，</w:t>
      </w:r>
      <w:r w:rsidRPr="00AE0D77">
        <w:rPr>
          <w:rFonts w:eastAsia="標楷體"/>
          <w:bCs/>
          <w:sz w:val="28"/>
          <w:szCs w:val="22"/>
        </w:rPr>
        <w:t>均較上年同月上揚，尤以韓國增加</w:t>
      </w:r>
      <w:r w:rsidRPr="00AE0D77">
        <w:rPr>
          <w:rFonts w:eastAsia="標楷體"/>
          <w:bCs/>
          <w:sz w:val="28"/>
          <w:szCs w:val="22"/>
        </w:rPr>
        <w:t>19.5%</w:t>
      </w:r>
      <w:r w:rsidRPr="00AE0D77">
        <w:rPr>
          <w:rFonts w:eastAsia="標楷體"/>
          <w:bCs/>
          <w:sz w:val="28"/>
          <w:szCs w:val="22"/>
        </w:rPr>
        <w:t>最多，美國、中國大陸</w:t>
      </w:r>
      <w:r w:rsidRPr="00AE0D77">
        <w:rPr>
          <w:rFonts w:eastAsia="標楷體"/>
          <w:bCs/>
          <w:sz w:val="28"/>
          <w:szCs w:val="22"/>
        </w:rPr>
        <w:t>(</w:t>
      </w:r>
      <w:r w:rsidRPr="00AE0D77">
        <w:rPr>
          <w:rFonts w:eastAsia="標楷體"/>
          <w:bCs/>
          <w:sz w:val="28"/>
          <w:szCs w:val="22"/>
        </w:rPr>
        <w:t>含香港</w:t>
      </w:r>
      <w:r w:rsidRPr="00AE0D77">
        <w:rPr>
          <w:rFonts w:eastAsia="標楷體"/>
          <w:bCs/>
          <w:sz w:val="28"/>
          <w:szCs w:val="22"/>
        </w:rPr>
        <w:t>)</w:t>
      </w:r>
      <w:r w:rsidRPr="00AE0D77">
        <w:rPr>
          <w:rFonts w:eastAsia="標楷體"/>
          <w:bCs/>
          <w:sz w:val="28"/>
          <w:szCs w:val="22"/>
        </w:rPr>
        <w:t>及日本分別增加</w:t>
      </w:r>
      <w:r w:rsidRPr="00AE0D77">
        <w:rPr>
          <w:rFonts w:eastAsia="標楷體"/>
          <w:bCs/>
          <w:sz w:val="28"/>
          <w:szCs w:val="22"/>
        </w:rPr>
        <w:t>12.9%</w:t>
      </w:r>
      <w:r w:rsidRPr="00AE0D77">
        <w:rPr>
          <w:rFonts w:eastAsia="標楷體"/>
          <w:bCs/>
          <w:sz w:val="28"/>
          <w:szCs w:val="22"/>
        </w:rPr>
        <w:t>、</w:t>
      </w:r>
      <w:r w:rsidRPr="00AE0D77">
        <w:rPr>
          <w:rFonts w:eastAsia="標楷體"/>
          <w:bCs/>
          <w:sz w:val="28"/>
          <w:szCs w:val="22"/>
        </w:rPr>
        <w:t>6.4%</w:t>
      </w:r>
      <w:r w:rsidRPr="00AE0D77">
        <w:rPr>
          <w:rFonts w:eastAsia="標楷體"/>
          <w:bCs/>
          <w:sz w:val="28"/>
          <w:szCs w:val="22"/>
        </w:rPr>
        <w:t>及</w:t>
      </w:r>
      <w:r w:rsidRPr="00AE0D77">
        <w:rPr>
          <w:rFonts w:eastAsia="標楷體"/>
          <w:bCs/>
          <w:sz w:val="28"/>
          <w:szCs w:val="22"/>
        </w:rPr>
        <w:t>3.8%</w:t>
      </w:r>
      <w:r w:rsidRPr="00AE0D77">
        <w:rPr>
          <w:rFonts w:eastAsia="標楷體"/>
          <w:bCs/>
          <w:sz w:val="28"/>
          <w:szCs w:val="22"/>
        </w:rPr>
        <w:t>；進口方面，日本及美國分別減少</w:t>
      </w:r>
      <w:r w:rsidRPr="00AE0D77">
        <w:rPr>
          <w:rFonts w:eastAsia="標楷體"/>
          <w:bCs/>
          <w:sz w:val="28"/>
          <w:szCs w:val="22"/>
        </w:rPr>
        <w:t>0.5%</w:t>
      </w:r>
      <w:r w:rsidRPr="00AE0D77">
        <w:rPr>
          <w:rFonts w:eastAsia="標楷體"/>
          <w:bCs/>
          <w:sz w:val="28"/>
          <w:szCs w:val="22"/>
        </w:rPr>
        <w:t>及</w:t>
      </w:r>
      <w:r w:rsidRPr="00AE0D77">
        <w:rPr>
          <w:rFonts w:eastAsia="標楷體"/>
          <w:bCs/>
          <w:sz w:val="28"/>
          <w:szCs w:val="22"/>
        </w:rPr>
        <w:t>1.7%</w:t>
      </w:r>
      <w:r w:rsidRPr="00AE0D77">
        <w:rPr>
          <w:rFonts w:eastAsia="標楷體"/>
          <w:bCs/>
          <w:sz w:val="28"/>
          <w:szCs w:val="22"/>
        </w:rPr>
        <w:t>，韓國、新加坡及中國大陸</w:t>
      </w:r>
      <w:r w:rsidRPr="00AE0D77">
        <w:rPr>
          <w:rFonts w:eastAsia="標楷體"/>
          <w:bCs/>
          <w:sz w:val="28"/>
          <w:szCs w:val="22"/>
        </w:rPr>
        <w:t>(</w:t>
      </w:r>
      <w:r w:rsidRPr="00AE0D77">
        <w:rPr>
          <w:rFonts w:eastAsia="標楷體"/>
          <w:bCs/>
          <w:sz w:val="28"/>
          <w:szCs w:val="22"/>
        </w:rPr>
        <w:t>含香港</w:t>
      </w:r>
      <w:r w:rsidRPr="00AE0D77">
        <w:rPr>
          <w:rFonts w:eastAsia="標楷體"/>
          <w:bCs/>
          <w:sz w:val="28"/>
          <w:szCs w:val="22"/>
        </w:rPr>
        <w:t>)</w:t>
      </w:r>
      <w:r w:rsidRPr="00AE0D77">
        <w:rPr>
          <w:rFonts w:eastAsia="標楷體"/>
          <w:bCs/>
          <w:sz w:val="28"/>
          <w:szCs w:val="22"/>
        </w:rPr>
        <w:t>分別增加</w:t>
      </w:r>
      <w:r w:rsidRPr="00AE0D77">
        <w:rPr>
          <w:rFonts w:eastAsia="標楷體"/>
          <w:bCs/>
          <w:sz w:val="28"/>
          <w:szCs w:val="22"/>
        </w:rPr>
        <w:t>17.0%</w:t>
      </w:r>
      <w:r w:rsidRPr="00AE0D77">
        <w:rPr>
          <w:rFonts w:eastAsia="標楷體"/>
          <w:bCs/>
          <w:sz w:val="28"/>
          <w:szCs w:val="22"/>
        </w:rPr>
        <w:t>、</w:t>
      </w:r>
      <w:r w:rsidRPr="00AE0D77">
        <w:rPr>
          <w:rFonts w:eastAsia="標楷體"/>
          <w:bCs/>
          <w:sz w:val="28"/>
          <w:szCs w:val="22"/>
        </w:rPr>
        <w:t>14.5%</w:t>
      </w:r>
      <w:r w:rsidRPr="00AE0D77">
        <w:rPr>
          <w:rFonts w:eastAsia="標楷體"/>
          <w:bCs/>
          <w:sz w:val="28"/>
          <w:szCs w:val="22"/>
        </w:rPr>
        <w:t>及</w:t>
      </w:r>
      <w:r w:rsidRPr="00AE0D77">
        <w:rPr>
          <w:rFonts w:eastAsia="標楷體"/>
          <w:bCs/>
          <w:sz w:val="28"/>
          <w:szCs w:val="22"/>
        </w:rPr>
        <w:t>11.7%</w:t>
      </w:r>
      <w:r w:rsidRPr="00AE0D77">
        <w:rPr>
          <w:rFonts w:eastAsia="標楷體"/>
          <w:bCs/>
          <w:sz w:val="28"/>
          <w:szCs w:val="22"/>
        </w:rPr>
        <w:t>。</w:t>
      </w:r>
    </w:p>
    <w:p w:rsidR="00F67965" w:rsidRPr="00AE0D77" w:rsidRDefault="00031355" w:rsidP="00031355">
      <w:pPr>
        <w:numPr>
          <w:ilvl w:val="0"/>
          <w:numId w:val="3"/>
        </w:numPr>
        <w:snapToGrid w:val="0"/>
        <w:spacing w:beforeLines="50" w:before="180" w:line="300" w:lineRule="auto"/>
        <w:ind w:right="-142"/>
        <w:jc w:val="both"/>
        <w:rPr>
          <w:rFonts w:eastAsia="標楷體"/>
          <w:bCs/>
          <w:sz w:val="28"/>
          <w:szCs w:val="22"/>
        </w:rPr>
      </w:pPr>
      <w:r w:rsidRPr="00AE0D77">
        <w:rPr>
          <w:rFonts w:eastAsia="標楷體"/>
          <w:bCs/>
          <w:sz w:val="28"/>
          <w:szCs w:val="22"/>
        </w:rPr>
        <w:t>5</w:t>
      </w:r>
      <w:r w:rsidRPr="00AE0D77">
        <w:rPr>
          <w:rFonts w:eastAsia="標楷體"/>
          <w:bCs/>
          <w:sz w:val="28"/>
          <w:szCs w:val="22"/>
        </w:rPr>
        <w:t>月以中國大陸</w:t>
      </w:r>
      <w:r w:rsidRPr="00AE0D77">
        <w:rPr>
          <w:rFonts w:eastAsia="標楷體"/>
          <w:bCs/>
          <w:sz w:val="28"/>
          <w:szCs w:val="22"/>
        </w:rPr>
        <w:t>(</w:t>
      </w:r>
      <w:r w:rsidRPr="00AE0D77">
        <w:rPr>
          <w:rFonts w:eastAsia="標楷體"/>
          <w:bCs/>
          <w:sz w:val="28"/>
          <w:szCs w:val="22"/>
        </w:rPr>
        <w:t>含香港</w:t>
      </w:r>
      <w:r w:rsidRPr="00AE0D77">
        <w:rPr>
          <w:rFonts w:eastAsia="標楷體"/>
          <w:bCs/>
          <w:sz w:val="28"/>
          <w:szCs w:val="22"/>
        </w:rPr>
        <w:t>)</w:t>
      </w:r>
      <w:r w:rsidRPr="00AE0D77">
        <w:rPr>
          <w:rFonts w:eastAsia="標楷體"/>
          <w:bCs/>
          <w:sz w:val="28"/>
          <w:szCs w:val="22"/>
        </w:rPr>
        <w:t>為我最大出口國</w:t>
      </w:r>
      <w:r w:rsidRPr="00AE0D77">
        <w:rPr>
          <w:rFonts w:eastAsia="標楷體"/>
          <w:bCs/>
          <w:sz w:val="28"/>
          <w:szCs w:val="22"/>
        </w:rPr>
        <w:t>(</w:t>
      </w:r>
      <w:r w:rsidRPr="00AE0D77">
        <w:rPr>
          <w:rFonts w:eastAsia="標楷體"/>
          <w:bCs/>
          <w:sz w:val="28"/>
          <w:szCs w:val="22"/>
        </w:rPr>
        <w:t>地區</w:t>
      </w:r>
      <w:r w:rsidRPr="00AE0D77">
        <w:rPr>
          <w:rFonts w:eastAsia="標楷體"/>
          <w:bCs/>
          <w:sz w:val="28"/>
          <w:szCs w:val="22"/>
        </w:rPr>
        <w:t>)</w:t>
      </w:r>
      <w:r w:rsidRPr="00AE0D77">
        <w:rPr>
          <w:rFonts w:eastAsia="標楷體"/>
          <w:bCs/>
          <w:sz w:val="28"/>
          <w:szCs w:val="22"/>
        </w:rPr>
        <w:t>及進口國</w:t>
      </w:r>
      <w:r w:rsidRPr="00AE0D77">
        <w:rPr>
          <w:rFonts w:eastAsia="標楷體"/>
          <w:bCs/>
          <w:sz w:val="28"/>
          <w:szCs w:val="22"/>
        </w:rPr>
        <w:t>(</w:t>
      </w:r>
      <w:r w:rsidRPr="00AE0D77">
        <w:rPr>
          <w:rFonts w:eastAsia="標楷體"/>
          <w:bCs/>
          <w:sz w:val="28"/>
          <w:szCs w:val="22"/>
        </w:rPr>
        <w:t>地區</w:t>
      </w:r>
      <w:r w:rsidRPr="00AE0D77">
        <w:rPr>
          <w:rFonts w:eastAsia="標楷體"/>
          <w:bCs/>
          <w:sz w:val="28"/>
          <w:szCs w:val="22"/>
        </w:rPr>
        <w:t>)</w:t>
      </w:r>
      <w:r w:rsidRPr="00AE0D77">
        <w:rPr>
          <w:rFonts w:eastAsia="標楷體"/>
          <w:bCs/>
          <w:sz w:val="28"/>
          <w:szCs w:val="22"/>
        </w:rPr>
        <w:t>，亦為主要出超來源國</w:t>
      </w:r>
      <w:r w:rsidRPr="00AE0D77">
        <w:rPr>
          <w:rFonts w:eastAsia="標楷體"/>
          <w:bCs/>
          <w:sz w:val="28"/>
          <w:szCs w:val="22"/>
        </w:rPr>
        <w:t>(</w:t>
      </w:r>
      <w:r w:rsidRPr="00AE0D77">
        <w:rPr>
          <w:rFonts w:eastAsia="標楷體"/>
          <w:bCs/>
          <w:sz w:val="28"/>
          <w:szCs w:val="22"/>
        </w:rPr>
        <w:t>地區</w:t>
      </w:r>
      <w:r w:rsidRPr="00AE0D77">
        <w:rPr>
          <w:rFonts w:eastAsia="標楷體"/>
          <w:bCs/>
          <w:sz w:val="28"/>
          <w:szCs w:val="22"/>
        </w:rPr>
        <w:t>)</w:t>
      </w:r>
      <w:r w:rsidRPr="00AE0D77">
        <w:rPr>
          <w:rFonts w:eastAsia="標楷體"/>
          <w:bCs/>
          <w:sz w:val="28"/>
          <w:szCs w:val="22"/>
        </w:rPr>
        <w:t>，出超</w:t>
      </w:r>
      <w:r w:rsidRPr="00AE0D77">
        <w:rPr>
          <w:rFonts w:eastAsia="標楷體"/>
          <w:bCs/>
          <w:sz w:val="28"/>
          <w:szCs w:val="22"/>
        </w:rPr>
        <w:t>54.8</w:t>
      </w:r>
      <w:r w:rsidRPr="00AE0D77">
        <w:rPr>
          <w:rFonts w:eastAsia="標楷體"/>
          <w:bCs/>
          <w:sz w:val="28"/>
          <w:szCs w:val="22"/>
        </w:rPr>
        <w:t>億美元；主要入超來源國為日本，入超</w:t>
      </w:r>
      <w:r w:rsidRPr="00AE0D77">
        <w:rPr>
          <w:rFonts w:eastAsia="標楷體"/>
          <w:bCs/>
          <w:sz w:val="28"/>
          <w:szCs w:val="22"/>
        </w:rPr>
        <w:t>17.7</w:t>
      </w:r>
      <w:r w:rsidRPr="00AE0D77">
        <w:rPr>
          <w:rFonts w:eastAsia="標楷體"/>
          <w:bCs/>
          <w:sz w:val="28"/>
          <w:szCs w:val="22"/>
        </w:rPr>
        <w:t>億美元</w:t>
      </w:r>
      <w:r w:rsidR="00337C9A" w:rsidRPr="00AE0D77">
        <w:rPr>
          <w:rFonts w:eastAsia="標楷體"/>
          <w:bCs/>
          <w:sz w:val="28"/>
          <w:szCs w:val="22"/>
        </w:rPr>
        <w:t>。</w:t>
      </w:r>
    </w:p>
    <w:p w:rsidR="00F67965" w:rsidRPr="00AE0D77" w:rsidRDefault="00F67965" w:rsidP="00F67965">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F67965" w:rsidRPr="00AE0D77" w:rsidRDefault="00F67965" w:rsidP="00F67965">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9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9"/>
        <w:gridCol w:w="1387"/>
        <w:gridCol w:w="1047"/>
        <w:gridCol w:w="1046"/>
        <w:gridCol w:w="1047"/>
        <w:gridCol w:w="1046"/>
      </w:tblGrid>
      <w:tr w:rsidR="00031355" w:rsidRPr="00AE0D77" w:rsidTr="00031355">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031355" w:rsidRPr="00AE0D77" w:rsidRDefault="00031355">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031355" w:rsidRPr="00AE0D77" w:rsidRDefault="00031355">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hideMark/>
          </w:tcPr>
          <w:p w:rsidR="00031355" w:rsidRPr="00AE0D77" w:rsidRDefault="00031355">
            <w:pPr>
              <w:snapToGrid w:val="0"/>
              <w:spacing w:line="0" w:lineRule="atLeast"/>
              <w:ind w:left="28" w:right="-40"/>
              <w:jc w:val="center"/>
              <w:rPr>
                <w:rFonts w:eastAsia="標楷體"/>
              </w:rPr>
            </w:pPr>
            <w:r w:rsidRPr="00AE0D77">
              <w:rPr>
                <w:rFonts w:eastAsia="標楷體"/>
              </w:rPr>
              <w:t>中國大陸</w:t>
            </w:r>
          </w:p>
          <w:p w:rsidR="00031355" w:rsidRPr="00AE0D77" w:rsidRDefault="00031355">
            <w:pPr>
              <w:snapToGrid w:val="0"/>
              <w:spacing w:line="0" w:lineRule="atLeast"/>
              <w:ind w:left="28" w:right="-40"/>
              <w:jc w:val="center"/>
              <w:rPr>
                <w:rFonts w:eastAsia="標楷體"/>
              </w:rPr>
            </w:pPr>
            <w:r w:rsidRPr="00AE0D77">
              <w:rPr>
                <w:rFonts w:eastAsia="標楷體"/>
              </w:rPr>
              <w:t>(</w:t>
            </w:r>
            <w:r w:rsidRPr="00AE0D77">
              <w:rPr>
                <w:rFonts w:eastAsia="標楷體"/>
              </w:rPr>
              <w:t>含香港</w:t>
            </w:r>
            <w:r w:rsidRPr="00AE0D7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snapToGrid w:val="0"/>
              <w:spacing w:line="0" w:lineRule="atLeast"/>
              <w:ind w:left="28" w:right="-40"/>
              <w:jc w:val="center"/>
              <w:rPr>
                <w:rFonts w:eastAsia="標楷體"/>
              </w:rPr>
            </w:pPr>
            <w:r w:rsidRPr="00AE0D7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snapToGrid w:val="0"/>
              <w:spacing w:line="0" w:lineRule="atLeast"/>
              <w:ind w:left="28" w:right="-40"/>
              <w:jc w:val="center"/>
              <w:rPr>
                <w:rFonts w:eastAsia="標楷體"/>
              </w:rPr>
            </w:pPr>
            <w:r w:rsidRPr="00AE0D7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snapToGrid w:val="0"/>
              <w:spacing w:line="0" w:lineRule="atLeast"/>
              <w:ind w:left="28" w:right="-40"/>
              <w:jc w:val="center"/>
              <w:rPr>
                <w:rFonts w:eastAsia="標楷體"/>
              </w:rPr>
            </w:pPr>
            <w:r w:rsidRPr="00AE0D77">
              <w:rPr>
                <w:rFonts w:eastAsia="標楷體"/>
              </w:rPr>
              <w:t>新加坡</w:t>
            </w:r>
          </w:p>
        </w:tc>
        <w:tc>
          <w:tcPr>
            <w:tcW w:w="1046" w:type="dxa"/>
            <w:tcBorders>
              <w:top w:val="single" w:sz="4" w:space="0" w:color="auto"/>
              <w:left w:val="single" w:sz="4" w:space="0" w:color="auto"/>
              <w:bottom w:val="single" w:sz="4" w:space="0" w:color="auto"/>
              <w:right w:val="nil"/>
            </w:tcBorders>
            <w:vAlign w:val="center"/>
            <w:hideMark/>
          </w:tcPr>
          <w:p w:rsidR="00031355" w:rsidRPr="00AE0D77" w:rsidRDefault="00031355">
            <w:pPr>
              <w:snapToGrid w:val="0"/>
              <w:spacing w:line="0" w:lineRule="atLeast"/>
              <w:ind w:left="28" w:right="-40"/>
              <w:jc w:val="center"/>
              <w:rPr>
                <w:rFonts w:eastAsia="標楷體"/>
              </w:rPr>
            </w:pPr>
            <w:r w:rsidRPr="00AE0D77">
              <w:rPr>
                <w:rFonts w:eastAsia="標楷體"/>
              </w:rPr>
              <w:t>韓國</w:t>
            </w:r>
          </w:p>
        </w:tc>
      </w:tr>
      <w:tr w:rsidR="00031355" w:rsidRPr="00AE0D77" w:rsidTr="00031355">
        <w:trPr>
          <w:cantSplit/>
          <w:trHeight w:val="432"/>
          <w:jc w:val="center"/>
        </w:trPr>
        <w:tc>
          <w:tcPr>
            <w:tcW w:w="467" w:type="dxa"/>
            <w:vMerge w:val="restart"/>
            <w:tcBorders>
              <w:top w:val="single" w:sz="4" w:space="0" w:color="auto"/>
              <w:left w:val="nil"/>
              <w:bottom w:val="nil"/>
              <w:right w:val="single" w:sz="4" w:space="0" w:color="auto"/>
            </w:tcBorders>
            <w:textDirection w:val="tbRlV"/>
            <w:vAlign w:val="center"/>
            <w:hideMark/>
          </w:tcPr>
          <w:p w:rsidR="00031355" w:rsidRPr="00AE0D77" w:rsidRDefault="00031355">
            <w:pPr>
              <w:snapToGrid w:val="0"/>
              <w:spacing w:line="320" w:lineRule="exact"/>
              <w:ind w:left="113" w:right="113"/>
              <w:jc w:val="center"/>
              <w:rPr>
                <w:rFonts w:eastAsia="標楷體"/>
              </w:rPr>
            </w:pPr>
            <w:r w:rsidRPr="00AE0D77">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5</w:t>
            </w:r>
            <w:r w:rsidRPr="00AE0D77">
              <w:rPr>
                <w:rFonts w:eastAsia="標楷體"/>
              </w:rPr>
              <w:t>月金額</w:t>
            </w:r>
          </w:p>
        </w:tc>
        <w:tc>
          <w:tcPr>
            <w:tcW w:w="1386" w:type="dxa"/>
            <w:tcBorders>
              <w:top w:val="single" w:sz="4" w:space="0" w:color="auto"/>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9,943</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3,198</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1,609</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1,243</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1,186</w:t>
            </w:r>
          </w:p>
        </w:tc>
      </w:tr>
      <w:tr w:rsidR="00031355" w:rsidRPr="00AE0D77" w:rsidTr="00031355">
        <w:trPr>
          <w:cantSplit/>
          <w:trHeight w:val="432"/>
          <w:jc w:val="center"/>
        </w:trPr>
        <w:tc>
          <w:tcPr>
            <w:tcW w:w="467" w:type="dxa"/>
            <w:vMerge/>
            <w:tcBorders>
              <w:top w:val="single" w:sz="4" w:space="0" w:color="auto"/>
              <w:left w:val="nil"/>
              <w:bottom w:val="nil"/>
              <w:right w:val="single" w:sz="4" w:space="0" w:color="auto"/>
            </w:tcBorders>
            <w:vAlign w:val="center"/>
            <w:hideMark/>
          </w:tcPr>
          <w:p w:rsidR="00031355" w:rsidRPr="00AE0D77" w:rsidRDefault="00031355">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6" w:type="dxa"/>
            <w:tcBorders>
              <w:top w:val="nil"/>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39.0</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12.5</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6.3</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4.9</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4.6</w:t>
            </w:r>
          </w:p>
        </w:tc>
      </w:tr>
      <w:tr w:rsidR="00031355" w:rsidRPr="00AE0D77" w:rsidTr="00031355">
        <w:trPr>
          <w:cantSplit/>
          <w:trHeight w:val="432"/>
          <w:jc w:val="center"/>
        </w:trPr>
        <w:tc>
          <w:tcPr>
            <w:tcW w:w="467" w:type="dxa"/>
            <w:vMerge/>
            <w:tcBorders>
              <w:top w:val="single" w:sz="4" w:space="0" w:color="auto"/>
              <w:left w:val="nil"/>
              <w:bottom w:val="nil"/>
              <w:right w:val="single" w:sz="4" w:space="0" w:color="auto"/>
            </w:tcBorders>
            <w:vAlign w:val="center"/>
            <w:hideMark/>
          </w:tcPr>
          <w:p w:rsidR="00031355" w:rsidRPr="00AE0D77" w:rsidRDefault="00031355">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6" w:type="dxa"/>
            <w:tcBorders>
              <w:top w:val="nil"/>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6.4</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12.9</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3.8</w:t>
            </w:r>
          </w:p>
        </w:tc>
        <w:tc>
          <w:tcPr>
            <w:tcW w:w="1047" w:type="dxa"/>
            <w:tcBorders>
              <w:top w:val="nil"/>
              <w:left w:val="nil"/>
              <w:bottom w:val="nil"/>
              <w:right w:val="nil"/>
            </w:tcBorders>
            <w:vAlign w:val="center"/>
            <w:hideMark/>
          </w:tcPr>
          <w:p w:rsidR="00031355" w:rsidRPr="00AE0D77" w:rsidRDefault="00031355">
            <w:pPr>
              <w:spacing w:line="400" w:lineRule="exact"/>
              <w:ind w:left="28" w:right="-40" w:firstLineChars="150" w:firstLine="360"/>
              <w:contextualSpacing/>
              <w:rPr>
                <w:rFonts w:eastAsia="標楷體"/>
              </w:rPr>
            </w:pPr>
            <w:r w:rsidRPr="00AE0D77">
              <w:rPr>
                <w:rFonts w:eastAsia="標楷體"/>
              </w:rPr>
              <w:t>-0.5</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19.5</w:t>
            </w:r>
          </w:p>
        </w:tc>
      </w:tr>
      <w:tr w:rsidR="00031355" w:rsidRPr="00AE0D77" w:rsidTr="00031355">
        <w:trPr>
          <w:cantSplit/>
          <w:trHeight w:val="432"/>
          <w:jc w:val="center"/>
        </w:trPr>
        <w:tc>
          <w:tcPr>
            <w:tcW w:w="467" w:type="dxa"/>
            <w:vMerge/>
            <w:tcBorders>
              <w:top w:val="single" w:sz="4" w:space="0" w:color="auto"/>
              <w:left w:val="nil"/>
              <w:bottom w:val="nil"/>
              <w:right w:val="single" w:sz="4" w:space="0" w:color="auto"/>
            </w:tcBorders>
            <w:vAlign w:val="center"/>
            <w:hideMark/>
          </w:tcPr>
          <w:p w:rsidR="00031355" w:rsidRPr="00AE0D77" w:rsidRDefault="00031355">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sidRPr="00AE0D77">
              <w:rPr>
                <w:rFonts w:eastAsia="標楷體"/>
              </w:rPr>
              <w:t>5</w:t>
            </w:r>
            <w:r w:rsidRPr="00AE0D77">
              <w:rPr>
                <w:rFonts w:eastAsia="標楷體"/>
              </w:rPr>
              <w:t>月金額</w:t>
            </w:r>
          </w:p>
        </w:tc>
        <w:tc>
          <w:tcPr>
            <w:tcW w:w="1386" w:type="dxa"/>
            <w:tcBorders>
              <w:top w:val="nil"/>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48,357</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14,256</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8,089</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6,749</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6,005</w:t>
            </w:r>
          </w:p>
        </w:tc>
      </w:tr>
      <w:tr w:rsidR="00031355" w:rsidRPr="00AE0D77" w:rsidTr="00031355">
        <w:trPr>
          <w:cantSplit/>
          <w:trHeight w:val="432"/>
          <w:jc w:val="center"/>
        </w:trPr>
        <w:tc>
          <w:tcPr>
            <w:tcW w:w="467" w:type="dxa"/>
            <w:vMerge/>
            <w:tcBorders>
              <w:top w:val="single" w:sz="4" w:space="0" w:color="auto"/>
              <w:left w:val="nil"/>
              <w:bottom w:val="nil"/>
              <w:right w:val="single" w:sz="4" w:space="0" w:color="auto"/>
            </w:tcBorders>
            <w:vAlign w:val="center"/>
            <w:hideMark/>
          </w:tcPr>
          <w:p w:rsidR="00031355" w:rsidRPr="00AE0D77" w:rsidRDefault="00031355">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6" w:type="dxa"/>
            <w:tcBorders>
              <w:top w:val="nil"/>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39.7</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11.7</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6.6</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5.5</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4.9</w:t>
            </w:r>
          </w:p>
        </w:tc>
      </w:tr>
      <w:tr w:rsidR="00031355" w:rsidRPr="00AE0D77" w:rsidTr="00031355">
        <w:trPr>
          <w:cantSplit/>
          <w:trHeight w:val="432"/>
          <w:jc w:val="center"/>
        </w:trPr>
        <w:tc>
          <w:tcPr>
            <w:tcW w:w="467" w:type="dxa"/>
            <w:vMerge/>
            <w:tcBorders>
              <w:top w:val="single" w:sz="4" w:space="0" w:color="auto"/>
              <w:left w:val="nil"/>
              <w:bottom w:val="nil"/>
              <w:right w:val="single" w:sz="4" w:space="0" w:color="auto"/>
            </w:tcBorders>
            <w:vAlign w:val="center"/>
            <w:hideMark/>
          </w:tcPr>
          <w:p w:rsidR="00031355" w:rsidRPr="00AE0D77" w:rsidRDefault="00031355">
            <w:pPr>
              <w:widowControl/>
              <w:rPr>
                <w:rFonts w:eastAsia="標楷體"/>
              </w:rPr>
            </w:pPr>
          </w:p>
        </w:tc>
        <w:tc>
          <w:tcPr>
            <w:tcW w:w="2547" w:type="dxa"/>
            <w:tcBorders>
              <w:top w:val="nil"/>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6" w:type="dxa"/>
            <w:tcBorders>
              <w:top w:val="nil"/>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16.0</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8.7</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4.2</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6.5</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24.5</w:t>
            </w:r>
          </w:p>
        </w:tc>
      </w:tr>
      <w:tr w:rsidR="00031355" w:rsidRPr="00AE0D77" w:rsidTr="00031355">
        <w:trPr>
          <w:cantSplit/>
          <w:trHeight w:val="432"/>
          <w:jc w:val="center"/>
        </w:trPr>
        <w:tc>
          <w:tcPr>
            <w:tcW w:w="467" w:type="dxa"/>
            <w:vMerge w:val="restart"/>
            <w:tcBorders>
              <w:top w:val="double" w:sz="4" w:space="0" w:color="auto"/>
              <w:left w:val="nil"/>
              <w:bottom w:val="single" w:sz="4" w:space="0" w:color="auto"/>
              <w:right w:val="single" w:sz="4" w:space="0" w:color="auto"/>
            </w:tcBorders>
            <w:textDirection w:val="tbRlV"/>
            <w:vAlign w:val="center"/>
            <w:hideMark/>
          </w:tcPr>
          <w:p w:rsidR="00031355" w:rsidRPr="00AE0D77" w:rsidRDefault="00031355">
            <w:pPr>
              <w:snapToGrid w:val="0"/>
              <w:spacing w:line="320" w:lineRule="exact"/>
              <w:jc w:val="center"/>
              <w:rPr>
                <w:rFonts w:eastAsia="標楷體"/>
                <w:bCs/>
              </w:rPr>
            </w:pPr>
            <w:r w:rsidRPr="00AE0D77">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5</w:t>
            </w:r>
            <w:r w:rsidRPr="00AE0D77">
              <w:rPr>
                <w:rFonts w:eastAsia="標楷體"/>
              </w:rPr>
              <w:t>月金額</w:t>
            </w:r>
          </w:p>
        </w:tc>
        <w:tc>
          <w:tcPr>
            <w:tcW w:w="1386" w:type="dxa"/>
            <w:tcBorders>
              <w:top w:val="double" w:sz="4" w:space="0" w:color="auto"/>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4,461</w:t>
            </w:r>
          </w:p>
        </w:tc>
        <w:tc>
          <w:tcPr>
            <w:tcW w:w="1047" w:type="dxa"/>
            <w:tcBorders>
              <w:top w:val="double" w:sz="4" w:space="0" w:color="auto"/>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2,569</w:t>
            </w:r>
          </w:p>
        </w:tc>
        <w:tc>
          <w:tcPr>
            <w:tcW w:w="1046" w:type="dxa"/>
            <w:tcBorders>
              <w:top w:val="double" w:sz="4" w:space="0" w:color="auto"/>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3,381</w:t>
            </w:r>
          </w:p>
        </w:tc>
        <w:tc>
          <w:tcPr>
            <w:tcW w:w="1047" w:type="dxa"/>
            <w:tcBorders>
              <w:top w:val="double" w:sz="4" w:space="0" w:color="auto"/>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746</w:t>
            </w:r>
          </w:p>
        </w:tc>
        <w:tc>
          <w:tcPr>
            <w:tcW w:w="1046" w:type="dxa"/>
            <w:tcBorders>
              <w:top w:val="double" w:sz="4" w:space="0" w:color="auto"/>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1,342</w:t>
            </w:r>
          </w:p>
        </w:tc>
      </w:tr>
      <w:tr w:rsidR="00031355" w:rsidRPr="00AE0D77" w:rsidTr="00031355">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bCs/>
              </w:rPr>
            </w:pPr>
          </w:p>
        </w:tc>
        <w:tc>
          <w:tcPr>
            <w:tcW w:w="2547" w:type="dxa"/>
            <w:tcBorders>
              <w:top w:val="nil"/>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6" w:type="dxa"/>
            <w:tcBorders>
              <w:top w:val="nil"/>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20.2</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11.6</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15.3</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3.4</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6.1</w:t>
            </w:r>
          </w:p>
        </w:tc>
      </w:tr>
      <w:tr w:rsidR="00031355" w:rsidRPr="00AE0D77" w:rsidTr="00031355">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bCs/>
              </w:rPr>
            </w:pPr>
          </w:p>
        </w:tc>
        <w:tc>
          <w:tcPr>
            <w:tcW w:w="2547" w:type="dxa"/>
            <w:tcBorders>
              <w:top w:val="nil"/>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6" w:type="dxa"/>
            <w:tcBorders>
              <w:top w:val="nil"/>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11.7</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-1.7</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-0.5</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14.5</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17.0</w:t>
            </w:r>
          </w:p>
        </w:tc>
      </w:tr>
      <w:tr w:rsidR="00031355" w:rsidRPr="00AE0D77" w:rsidTr="00031355">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bCs/>
              </w:rPr>
            </w:pPr>
          </w:p>
        </w:tc>
        <w:tc>
          <w:tcPr>
            <w:tcW w:w="2547" w:type="dxa"/>
            <w:tcBorders>
              <w:top w:val="nil"/>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sidRPr="00AE0D77">
              <w:rPr>
                <w:rFonts w:eastAsia="標楷體"/>
              </w:rPr>
              <w:t>5</w:t>
            </w:r>
            <w:r w:rsidRPr="00AE0D77">
              <w:rPr>
                <w:rFonts w:eastAsia="標楷體"/>
              </w:rPr>
              <w:t>月金額</w:t>
            </w:r>
          </w:p>
        </w:tc>
        <w:tc>
          <w:tcPr>
            <w:tcW w:w="1386" w:type="dxa"/>
            <w:tcBorders>
              <w:top w:val="nil"/>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19,881</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12,609</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17,154</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3,907</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6,438</w:t>
            </w:r>
          </w:p>
        </w:tc>
      </w:tr>
      <w:tr w:rsidR="00031355" w:rsidRPr="00AE0D77" w:rsidTr="00031355">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bCs/>
              </w:rPr>
            </w:pPr>
          </w:p>
        </w:tc>
        <w:tc>
          <w:tcPr>
            <w:tcW w:w="2547" w:type="dxa"/>
            <w:tcBorders>
              <w:top w:val="nil"/>
              <w:left w:val="single" w:sz="4" w:space="0" w:color="auto"/>
              <w:bottom w:val="nil"/>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6" w:type="dxa"/>
            <w:tcBorders>
              <w:top w:val="nil"/>
              <w:left w:val="single" w:sz="4" w:space="0" w:color="auto"/>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19.0</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12.0</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16.4</w:t>
            </w:r>
          </w:p>
        </w:tc>
        <w:tc>
          <w:tcPr>
            <w:tcW w:w="1047"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3.7</w:t>
            </w:r>
          </w:p>
        </w:tc>
        <w:tc>
          <w:tcPr>
            <w:tcW w:w="1046" w:type="dxa"/>
            <w:tcBorders>
              <w:top w:val="nil"/>
              <w:left w:val="nil"/>
              <w:bottom w:val="nil"/>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6.1</w:t>
            </w:r>
          </w:p>
        </w:tc>
      </w:tr>
      <w:tr w:rsidR="00031355" w:rsidRPr="00AE0D77" w:rsidTr="00031355">
        <w:trPr>
          <w:cantSplit/>
          <w:trHeight w:val="432"/>
          <w:jc w:val="center"/>
        </w:trPr>
        <w:tc>
          <w:tcPr>
            <w:tcW w:w="467" w:type="dxa"/>
            <w:vMerge/>
            <w:tcBorders>
              <w:top w:val="double" w:sz="4" w:space="0" w:color="auto"/>
              <w:left w:val="nil"/>
              <w:bottom w:val="single" w:sz="4" w:space="0" w:color="auto"/>
              <w:right w:val="single" w:sz="4" w:space="0" w:color="auto"/>
            </w:tcBorders>
            <w:vAlign w:val="center"/>
            <w:hideMark/>
          </w:tcPr>
          <w:p w:rsidR="00031355" w:rsidRPr="00AE0D77" w:rsidRDefault="00031355">
            <w:pPr>
              <w:widowControl/>
              <w:rPr>
                <w:rFonts w:eastAsia="標楷體"/>
                <w:bCs/>
              </w:rPr>
            </w:pPr>
          </w:p>
        </w:tc>
        <w:tc>
          <w:tcPr>
            <w:tcW w:w="2547" w:type="dxa"/>
            <w:tcBorders>
              <w:top w:val="nil"/>
              <w:left w:val="single" w:sz="4" w:space="0" w:color="auto"/>
              <w:bottom w:val="single" w:sz="4" w:space="0" w:color="auto"/>
              <w:right w:val="single" w:sz="4" w:space="0" w:color="auto"/>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6" w:type="dxa"/>
            <w:tcBorders>
              <w:top w:val="nil"/>
              <w:left w:val="single" w:sz="4" w:space="0" w:color="auto"/>
              <w:bottom w:val="single" w:sz="4" w:space="0" w:color="auto"/>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11.8</w:t>
            </w:r>
          </w:p>
        </w:tc>
        <w:tc>
          <w:tcPr>
            <w:tcW w:w="1047" w:type="dxa"/>
            <w:tcBorders>
              <w:top w:val="nil"/>
              <w:left w:val="nil"/>
              <w:bottom w:val="single" w:sz="4" w:space="0" w:color="auto"/>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10.2</w:t>
            </w:r>
          </w:p>
        </w:tc>
        <w:tc>
          <w:tcPr>
            <w:tcW w:w="1046" w:type="dxa"/>
            <w:tcBorders>
              <w:top w:val="nil"/>
              <w:left w:val="nil"/>
              <w:bottom w:val="single" w:sz="4" w:space="0" w:color="auto"/>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11.7</w:t>
            </w:r>
          </w:p>
        </w:tc>
        <w:tc>
          <w:tcPr>
            <w:tcW w:w="1047" w:type="dxa"/>
            <w:tcBorders>
              <w:top w:val="nil"/>
              <w:left w:val="nil"/>
              <w:bottom w:val="single" w:sz="4" w:space="0" w:color="auto"/>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53.1</w:t>
            </w:r>
          </w:p>
        </w:tc>
        <w:tc>
          <w:tcPr>
            <w:tcW w:w="1046" w:type="dxa"/>
            <w:tcBorders>
              <w:top w:val="nil"/>
              <w:left w:val="nil"/>
              <w:bottom w:val="single" w:sz="4" w:space="0" w:color="auto"/>
              <w:right w:val="nil"/>
            </w:tcBorders>
            <w:vAlign w:val="center"/>
            <w:hideMark/>
          </w:tcPr>
          <w:p w:rsidR="00031355" w:rsidRPr="00AE0D77" w:rsidRDefault="00031355">
            <w:pPr>
              <w:spacing w:line="400" w:lineRule="exact"/>
              <w:ind w:left="28" w:right="-40"/>
              <w:contextualSpacing/>
              <w:jc w:val="center"/>
              <w:rPr>
                <w:rFonts w:eastAsia="標楷體"/>
              </w:rPr>
            </w:pPr>
            <w:r w:rsidRPr="00AE0D77">
              <w:rPr>
                <w:rFonts w:eastAsia="標楷體"/>
              </w:rPr>
              <w:t>26.0</w:t>
            </w:r>
          </w:p>
        </w:tc>
      </w:tr>
    </w:tbl>
    <w:p w:rsidR="00F67965" w:rsidRPr="00AE0D77" w:rsidRDefault="00F67965" w:rsidP="00723F63">
      <w:pPr>
        <w:spacing w:line="380" w:lineRule="exact"/>
        <w:rPr>
          <w:rFonts w:eastAsia="標楷體"/>
        </w:rPr>
      </w:pPr>
      <w:r w:rsidRPr="00AE0D77">
        <w:rPr>
          <w:rFonts w:eastAsia="標楷體"/>
        </w:rPr>
        <w:t>資料來源：財政部。</w:t>
      </w:r>
    </w:p>
    <w:p w:rsidR="00F67965" w:rsidRPr="00AE0D77" w:rsidRDefault="00F67965" w:rsidP="00F67965">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AE0D77">
        <w:rPr>
          <w:rFonts w:eastAsia="標楷體"/>
          <w:b/>
          <w:bCs/>
          <w:kern w:val="0"/>
          <w:sz w:val="28"/>
          <w:szCs w:val="20"/>
        </w:rPr>
        <w:t>３、</w:t>
      </w:r>
      <w:r w:rsidR="00031355" w:rsidRPr="00AE0D77">
        <w:rPr>
          <w:rFonts w:eastAsia="標楷體"/>
          <w:b/>
          <w:bCs/>
          <w:kern w:val="0"/>
          <w:sz w:val="28"/>
          <w:szCs w:val="20"/>
        </w:rPr>
        <w:t>106</w:t>
      </w:r>
      <w:r w:rsidR="00031355" w:rsidRPr="00AE0D77">
        <w:rPr>
          <w:rFonts w:eastAsia="標楷體"/>
          <w:b/>
          <w:bCs/>
          <w:kern w:val="0"/>
          <w:sz w:val="28"/>
          <w:szCs w:val="20"/>
        </w:rPr>
        <w:t>年</w:t>
      </w:r>
      <w:r w:rsidR="00031355" w:rsidRPr="00AE0D77">
        <w:rPr>
          <w:rFonts w:eastAsia="標楷體"/>
          <w:b/>
          <w:bCs/>
          <w:kern w:val="0"/>
          <w:sz w:val="28"/>
          <w:szCs w:val="20"/>
        </w:rPr>
        <w:t>5</w:t>
      </w:r>
      <w:r w:rsidR="00031355" w:rsidRPr="00AE0D77">
        <w:rPr>
          <w:rFonts w:eastAsia="標楷體"/>
          <w:b/>
          <w:bCs/>
          <w:kern w:val="0"/>
          <w:sz w:val="28"/>
          <w:szCs w:val="20"/>
        </w:rPr>
        <w:t>月最大出、進口主要貨品皆為電子零組件，分別增加</w:t>
      </w:r>
      <w:r w:rsidR="00031355" w:rsidRPr="00AE0D77">
        <w:rPr>
          <w:rFonts w:eastAsia="標楷體"/>
          <w:b/>
          <w:bCs/>
          <w:kern w:val="0"/>
          <w:sz w:val="28"/>
          <w:szCs w:val="20"/>
        </w:rPr>
        <w:t>7.5%</w:t>
      </w:r>
      <w:r w:rsidR="00031355" w:rsidRPr="00AE0D77">
        <w:rPr>
          <w:rFonts w:eastAsia="標楷體"/>
          <w:b/>
          <w:bCs/>
          <w:kern w:val="0"/>
          <w:sz w:val="28"/>
          <w:szCs w:val="20"/>
        </w:rPr>
        <w:t>、</w:t>
      </w:r>
      <w:r w:rsidR="00031355" w:rsidRPr="00AE0D77">
        <w:rPr>
          <w:rFonts w:eastAsia="標楷體"/>
          <w:b/>
          <w:bCs/>
          <w:kern w:val="0"/>
          <w:sz w:val="28"/>
          <w:szCs w:val="20"/>
        </w:rPr>
        <w:t>19.7%</w:t>
      </w:r>
    </w:p>
    <w:p w:rsidR="00031355" w:rsidRPr="00AE0D77" w:rsidRDefault="00031355" w:rsidP="00031355">
      <w:pPr>
        <w:numPr>
          <w:ilvl w:val="0"/>
          <w:numId w:val="11"/>
        </w:numPr>
        <w:snapToGrid w:val="0"/>
        <w:spacing w:beforeLines="50" w:before="180" w:line="300" w:lineRule="auto"/>
        <w:jc w:val="both"/>
        <w:rPr>
          <w:rFonts w:eastAsia="標楷體"/>
          <w:kern w:val="0"/>
          <w:sz w:val="28"/>
          <w:szCs w:val="22"/>
        </w:rPr>
      </w:pPr>
      <w:r w:rsidRPr="00AE0D77">
        <w:rPr>
          <w:rFonts w:eastAsia="標楷體"/>
          <w:kern w:val="0"/>
          <w:sz w:val="28"/>
          <w:szCs w:val="22"/>
        </w:rPr>
        <w:t>5</w:t>
      </w:r>
      <w:r w:rsidRPr="00AE0D77">
        <w:rPr>
          <w:rFonts w:eastAsia="標楷體"/>
          <w:kern w:val="0"/>
          <w:sz w:val="28"/>
          <w:szCs w:val="22"/>
        </w:rPr>
        <w:t>月出口前</w:t>
      </w:r>
      <w:r w:rsidRPr="00AE0D77">
        <w:rPr>
          <w:rFonts w:eastAsia="標楷體"/>
          <w:kern w:val="0"/>
          <w:sz w:val="28"/>
          <w:szCs w:val="22"/>
        </w:rPr>
        <w:t>3</w:t>
      </w:r>
      <w:r w:rsidRPr="00AE0D77">
        <w:rPr>
          <w:rFonts w:eastAsia="標楷體"/>
          <w:kern w:val="0"/>
          <w:sz w:val="28"/>
          <w:szCs w:val="22"/>
        </w:rPr>
        <w:t>大貨品依序為：電子零組件</w:t>
      </w:r>
      <w:r w:rsidRPr="00AE0D77">
        <w:rPr>
          <w:rFonts w:eastAsia="標楷體"/>
          <w:kern w:val="0"/>
          <w:sz w:val="28"/>
          <w:szCs w:val="22"/>
        </w:rPr>
        <w:t>77.7</w:t>
      </w:r>
      <w:r w:rsidRPr="00AE0D77">
        <w:rPr>
          <w:rFonts w:eastAsia="標楷體"/>
          <w:kern w:val="0"/>
          <w:sz w:val="28"/>
          <w:szCs w:val="22"/>
        </w:rPr>
        <w:t>億美元，占出口總值</w:t>
      </w:r>
      <w:r w:rsidRPr="00AE0D77">
        <w:rPr>
          <w:rFonts w:eastAsia="標楷體"/>
          <w:kern w:val="0"/>
          <w:sz w:val="28"/>
          <w:szCs w:val="22"/>
        </w:rPr>
        <w:t>30.4%</w:t>
      </w:r>
      <w:r w:rsidRPr="00AE0D77">
        <w:rPr>
          <w:rFonts w:eastAsia="標楷體"/>
          <w:kern w:val="0"/>
          <w:sz w:val="28"/>
          <w:szCs w:val="22"/>
        </w:rPr>
        <w:t>，較上年同月增加</w:t>
      </w:r>
      <w:r w:rsidRPr="00AE0D77">
        <w:rPr>
          <w:rFonts w:eastAsia="標楷體"/>
          <w:kern w:val="0"/>
          <w:sz w:val="28"/>
          <w:szCs w:val="22"/>
        </w:rPr>
        <w:t>7.5%</w:t>
      </w:r>
      <w:r w:rsidRPr="00AE0D77">
        <w:rPr>
          <w:rFonts w:eastAsia="標楷體"/>
          <w:kern w:val="0"/>
          <w:sz w:val="28"/>
          <w:szCs w:val="22"/>
        </w:rPr>
        <w:t>；資通與視聽產品</w:t>
      </w:r>
      <w:r w:rsidRPr="00AE0D77">
        <w:rPr>
          <w:rFonts w:eastAsia="標楷體"/>
          <w:kern w:val="0"/>
          <w:sz w:val="28"/>
          <w:szCs w:val="22"/>
        </w:rPr>
        <w:t>26.8</w:t>
      </w:r>
      <w:r w:rsidRPr="00AE0D77">
        <w:rPr>
          <w:rFonts w:eastAsia="標楷體"/>
          <w:kern w:val="0"/>
          <w:sz w:val="28"/>
          <w:szCs w:val="22"/>
        </w:rPr>
        <w:t>億美元，比重</w:t>
      </w:r>
      <w:r w:rsidRPr="00AE0D77">
        <w:rPr>
          <w:rFonts w:eastAsia="標楷體"/>
          <w:kern w:val="0"/>
          <w:sz w:val="28"/>
          <w:szCs w:val="22"/>
        </w:rPr>
        <w:t>10.5%</w:t>
      </w:r>
      <w:r w:rsidRPr="00AE0D77">
        <w:rPr>
          <w:rFonts w:eastAsia="標楷體"/>
          <w:kern w:val="0"/>
          <w:sz w:val="28"/>
          <w:szCs w:val="22"/>
        </w:rPr>
        <w:t>，增加</w:t>
      </w:r>
      <w:r w:rsidRPr="00AE0D77">
        <w:rPr>
          <w:rFonts w:eastAsia="標楷體"/>
          <w:kern w:val="0"/>
          <w:sz w:val="28"/>
          <w:szCs w:val="22"/>
        </w:rPr>
        <w:t>11.0%</w:t>
      </w:r>
      <w:r w:rsidRPr="00AE0D77">
        <w:rPr>
          <w:rFonts w:eastAsia="標楷體"/>
          <w:kern w:val="0"/>
          <w:sz w:val="28"/>
          <w:szCs w:val="22"/>
        </w:rPr>
        <w:t>；基本金屬及其製品</w:t>
      </w:r>
      <w:r w:rsidRPr="00AE0D77">
        <w:rPr>
          <w:rFonts w:eastAsia="標楷體"/>
          <w:kern w:val="0"/>
          <w:sz w:val="28"/>
          <w:szCs w:val="22"/>
        </w:rPr>
        <w:t>25.6</w:t>
      </w:r>
      <w:r w:rsidRPr="00AE0D77">
        <w:rPr>
          <w:rFonts w:eastAsia="標楷體"/>
          <w:kern w:val="0"/>
          <w:sz w:val="28"/>
          <w:szCs w:val="22"/>
        </w:rPr>
        <w:t>億美元，比重</w:t>
      </w:r>
      <w:r w:rsidRPr="00AE0D77">
        <w:rPr>
          <w:rFonts w:eastAsia="標楷體"/>
          <w:kern w:val="0"/>
          <w:sz w:val="28"/>
          <w:szCs w:val="22"/>
        </w:rPr>
        <w:t>10.1%</w:t>
      </w:r>
      <w:r w:rsidRPr="00AE0D77">
        <w:rPr>
          <w:rFonts w:eastAsia="標楷體"/>
          <w:kern w:val="0"/>
          <w:sz w:val="28"/>
          <w:szCs w:val="22"/>
        </w:rPr>
        <w:t>，增加</w:t>
      </w:r>
      <w:r w:rsidRPr="00AE0D77">
        <w:rPr>
          <w:rFonts w:eastAsia="標楷體"/>
          <w:kern w:val="0"/>
          <w:sz w:val="28"/>
          <w:szCs w:val="22"/>
        </w:rPr>
        <w:t>22.9%</w:t>
      </w:r>
      <w:r w:rsidRPr="00AE0D77">
        <w:rPr>
          <w:rFonts w:eastAsia="標楷體"/>
          <w:kern w:val="0"/>
          <w:sz w:val="28"/>
          <w:szCs w:val="22"/>
        </w:rPr>
        <w:t>。</w:t>
      </w:r>
    </w:p>
    <w:p w:rsidR="00F67965" w:rsidRPr="00AE0D77" w:rsidRDefault="00031355" w:rsidP="00031355">
      <w:pPr>
        <w:numPr>
          <w:ilvl w:val="0"/>
          <w:numId w:val="11"/>
        </w:numPr>
        <w:snapToGrid w:val="0"/>
        <w:spacing w:beforeLines="50" w:before="180" w:line="300" w:lineRule="auto"/>
        <w:ind w:right="-142"/>
        <w:jc w:val="both"/>
        <w:rPr>
          <w:rFonts w:eastAsia="標楷體"/>
          <w:kern w:val="0"/>
          <w:sz w:val="28"/>
          <w:szCs w:val="22"/>
        </w:rPr>
      </w:pPr>
      <w:r w:rsidRPr="00AE0D77">
        <w:rPr>
          <w:rFonts w:eastAsia="標楷體"/>
          <w:kern w:val="0"/>
          <w:sz w:val="28"/>
          <w:szCs w:val="22"/>
        </w:rPr>
        <w:t>5</w:t>
      </w:r>
      <w:r w:rsidRPr="00AE0D77">
        <w:rPr>
          <w:rFonts w:eastAsia="標楷體"/>
          <w:kern w:val="0"/>
          <w:sz w:val="28"/>
          <w:szCs w:val="22"/>
        </w:rPr>
        <w:t>月進口前</w:t>
      </w:r>
      <w:r w:rsidRPr="00AE0D77">
        <w:rPr>
          <w:rFonts w:eastAsia="標楷體"/>
          <w:kern w:val="0"/>
          <w:sz w:val="28"/>
          <w:szCs w:val="22"/>
        </w:rPr>
        <w:t>3</w:t>
      </w:r>
      <w:r w:rsidRPr="00AE0D77">
        <w:rPr>
          <w:rFonts w:eastAsia="標楷體"/>
          <w:kern w:val="0"/>
          <w:sz w:val="28"/>
          <w:szCs w:val="22"/>
        </w:rPr>
        <w:t>大貨品依序為：電子零組件</w:t>
      </w:r>
      <w:r w:rsidRPr="00AE0D77">
        <w:rPr>
          <w:rFonts w:eastAsia="標楷體"/>
          <w:kern w:val="0"/>
          <w:sz w:val="28"/>
          <w:szCs w:val="22"/>
        </w:rPr>
        <w:t>41.8</w:t>
      </w:r>
      <w:r w:rsidRPr="00AE0D77">
        <w:rPr>
          <w:rFonts w:eastAsia="標楷體"/>
          <w:kern w:val="0"/>
          <w:sz w:val="28"/>
          <w:szCs w:val="22"/>
        </w:rPr>
        <w:t>億美元，占進口總值</w:t>
      </w:r>
      <w:r w:rsidRPr="00AE0D77">
        <w:rPr>
          <w:rFonts w:eastAsia="標楷體"/>
          <w:kern w:val="0"/>
          <w:sz w:val="28"/>
          <w:szCs w:val="22"/>
        </w:rPr>
        <w:t>18.9%</w:t>
      </w:r>
      <w:r w:rsidRPr="00AE0D77">
        <w:rPr>
          <w:rFonts w:eastAsia="標楷體"/>
          <w:kern w:val="0"/>
          <w:sz w:val="28"/>
          <w:szCs w:val="22"/>
        </w:rPr>
        <w:t>，較上年同月增加</w:t>
      </w:r>
      <w:r w:rsidRPr="00AE0D77">
        <w:rPr>
          <w:rFonts w:eastAsia="標楷體"/>
          <w:kern w:val="0"/>
          <w:sz w:val="28"/>
          <w:szCs w:val="22"/>
        </w:rPr>
        <w:t>19.7%</w:t>
      </w:r>
      <w:r w:rsidRPr="00AE0D77">
        <w:rPr>
          <w:rFonts w:eastAsia="標楷體"/>
          <w:kern w:val="0"/>
          <w:sz w:val="28"/>
          <w:szCs w:val="22"/>
        </w:rPr>
        <w:t>；礦產品</w:t>
      </w:r>
      <w:r w:rsidRPr="00AE0D77">
        <w:rPr>
          <w:rFonts w:eastAsia="標楷體"/>
          <w:kern w:val="0"/>
          <w:sz w:val="28"/>
          <w:szCs w:val="22"/>
        </w:rPr>
        <w:t>36.9</w:t>
      </w:r>
      <w:r w:rsidRPr="00AE0D77">
        <w:rPr>
          <w:rFonts w:eastAsia="標楷體"/>
          <w:kern w:val="0"/>
          <w:sz w:val="28"/>
          <w:szCs w:val="22"/>
        </w:rPr>
        <w:t>億美元，比重</w:t>
      </w:r>
      <w:r w:rsidRPr="00AE0D77">
        <w:rPr>
          <w:rFonts w:eastAsia="標楷體"/>
          <w:kern w:val="0"/>
          <w:sz w:val="28"/>
          <w:szCs w:val="22"/>
        </w:rPr>
        <w:t>16.7%</w:t>
      </w:r>
      <w:r w:rsidRPr="00AE0D77">
        <w:rPr>
          <w:rFonts w:eastAsia="標楷體"/>
          <w:kern w:val="0"/>
          <w:sz w:val="28"/>
          <w:szCs w:val="22"/>
        </w:rPr>
        <w:t>，增加</w:t>
      </w:r>
      <w:r w:rsidRPr="00AE0D77">
        <w:rPr>
          <w:rFonts w:eastAsia="標楷體"/>
          <w:kern w:val="0"/>
          <w:sz w:val="28"/>
          <w:szCs w:val="22"/>
        </w:rPr>
        <w:t>22.0%</w:t>
      </w:r>
      <w:r w:rsidRPr="00AE0D77">
        <w:rPr>
          <w:rFonts w:eastAsia="標楷體"/>
          <w:kern w:val="0"/>
          <w:sz w:val="28"/>
          <w:szCs w:val="22"/>
        </w:rPr>
        <w:t>；機械</w:t>
      </w:r>
      <w:r w:rsidRPr="00AE0D77">
        <w:rPr>
          <w:rFonts w:eastAsia="標楷體"/>
          <w:kern w:val="0"/>
          <w:sz w:val="28"/>
          <w:szCs w:val="22"/>
        </w:rPr>
        <w:t>23.5</w:t>
      </w:r>
      <w:r w:rsidRPr="00AE0D77">
        <w:rPr>
          <w:rFonts w:eastAsia="標楷體"/>
          <w:kern w:val="0"/>
          <w:sz w:val="28"/>
          <w:szCs w:val="22"/>
        </w:rPr>
        <w:t>億美元，比重</w:t>
      </w:r>
      <w:r w:rsidRPr="00AE0D77">
        <w:rPr>
          <w:rFonts w:eastAsia="標楷體"/>
          <w:kern w:val="0"/>
          <w:sz w:val="28"/>
          <w:szCs w:val="22"/>
        </w:rPr>
        <w:t>10.7%</w:t>
      </w:r>
      <w:r w:rsidRPr="00AE0D77">
        <w:rPr>
          <w:rFonts w:eastAsia="標楷體"/>
          <w:kern w:val="0"/>
          <w:sz w:val="28"/>
          <w:szCs w:val="22"/>
        </w:rPr>
        <w:t>，減少</w:t>
      </w:r>
      <w:r w:rsidRPr="00AE0D77">
        <w:rPr>
          <w:rFonts w:eastAsia="標楷體"/>
          <w:kern w:val="0"/>
          <w:sz w:val="28"/>
          <w:szCs w:val="22"/>
        </w:rPr>
        <w:t>1.9%</w:t>
      </w:r>
      <w:r w:rsidR="00D0587A" w:rsidRPr="00AE0D77">
        <w:rPr>
          <w:rFonts w:eastAsia="標楷體"/>
          <w:kern w:val="0"/>
          <w:sz w:val="28"/>
          <w:szCs w:val="22"/>
        </w:rPr>
        <w:t>。</w:t>
      </w:r>
    </w:p>
    <w:p w:rsidR="00F67965" w:rsidRPr="00AE0D77" w:rsidRDefault="00F67965" w:rsidP="00F67965">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00951EDB" w:rsidRPr="00AE0D77">
        <w:rPr>
          <w:rFonts w:eastAsia="標楷體"/>
          <w:b/>
          <w:bCs/>
          <w:sz w:val="28"/>
        </w:rPr>
        <w:t>106</w:t>
      </w:r>
      <w:r w:rsidRPr="00AE0D77">
        <w:rPr>
          <w:rFonts w:eastAsia="標楷體"/>
          <w:b/>
          <w:bCs/>
          <w:sz w:val="28"/>
        </w:rPr>
        <w:t>年</w:t>
      </w:r>
      <w:r w:rsidR="003E4BE9" w:rsidRPr="00AE0D77">
        <w:rPr>
          <w:rFonts w:eastAsia="標楷體"/>
          <w:b/>
          <w:bCs/>
          <w:sz w:val="28"/>
        </w:rPr>
        <w:t>5</w:t>
      </w:r>
      <w:r w:rsidRPr="00AE0D77">
        <w:rPr>
          <w:rFonts w:eastAsia="標楷體"/>
          <w:b/>
          <w:bCs/>
          <w:sz w:val="28"/>
        </w:rPr>
        <w:t>月重要出進口產品結構</w:t>
      </w:r>
    </w:p>
    <w:p w:rsidR="00F67965" w:rsidRPr="00AE0D77" w:rsidRDefault="00F67965" w:rsidP="00F67965">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031355" w:rsidRPr="00AE0D77" w:rsidTr="00031355">
        <w:trPr>
          <w:trHeight w:val="458"/>
        </w:trPr>
        <w:tc>
          <w:tcPr>
            <w:tcW w:w="2030" w:type="dxa"/>
            <w:tcBorders>
              <w:top w:val="single" w:sz="4" w:space="0" w:color="auto"/>
              <w:left w:val="nil"/>
              <w:bottom w:val="single" w:sz="4" w:space="0" w:color="auto"/>
              <w:right w:val="single" w:sz="4" w:space="0" w:color="auto"/>
            </w:tcBorders>
            <w:vAlign w:val="center"/>
            <w:hideMark/>
          </w:tcPr>
          <w:p w:rsidR="00031355" w:rsidRPr="00AE0D77" w:rsidRDefault="00031355">
            <w:pPr>
              <w:snapToGrid w:val="0"/>
              <w:ind w:left="28"/>
              <w:jc w:val="center"/>
              <w:rPr>
                <w:rFonts w:eastAsia="標楷體"/>
                <w:sz w:val="22"/>
              </w:rPr>
            </w:pPr>
            <w:r w:rsidRPr="00AE0D77">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snapToGrid w:val="0"/>
              <w:ind w:left="28"/>
              <w:jc w:val="center"/>
              <w:rPr>
                <w:rFonts w:eastAsia="標楷體"/>
                <w:sz w:val="22"/>
              </w:rPr>
            </w:pPr>
            <w:r w:rsidRPr="00AE0D77">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snapToGrid w:val="0"/>
              <w:ind w:left="28"/>
              <w:jc w:val="center"/>
              <w:rPr>
                <w:rFonts w:eastAsia="標楷體"/>
                <w:sz w:val="22"/>
              </w:rPr>
            </w:pPr>
            <w:r w:rsidRPr="00AE0D77">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snapToGrid w:val="0"/>
              <w:ind w:left="28"/>
              <w:jc w:val="center"/>
              <w:rPr>
                <w:rFonts w:eastAsia="標楷體"/>
                <w:sz w:val="22"/>
              </w:rPr>
            </w:pPr>
            <w:r w:rsidRPr="00AE0D77">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031355" w:rsidRPr="00AE0D77" w:rsidRDefault="00031355">
            <w:pPr>
              <w:snapToGrid w:val="0"/>
              <w:ind w:left="28"/>
              <w:jc w:val="center"/>
              <w:rPr>
                <w:rFonts w:eastAsia="標楷體"/>
                <w:sz w:val="22"/>
              </w:rPr>
            </w:pPr>
            <w:r w:rsidRPr="00AE0D77">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snapToGrid w:val="0"/>
              <w:ind w:left="28"/>
              <w:jc w:val="center"/>
              <w:rPr>
                <w:rFonts w:eastAsia="標楷體"/>
                <w:sz w:val="22"/>
              </w:rPr>
            </w:pPr>
            <w:r w:rsidRPr="00AE0D77">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031355" w:rsidRPr="00AE0D77" w:rsidRDefault="00031355">
            <w:pPr>
              <w:snapToGrid w:val="0"/>
              <w:ind w:left="28"/>
              <w:jc w:val="center"/>
              <w:rPr>
                <w:rFonts w:eastAsia="標楷體"/>
                <w:sz w:val="22"/>
              </w:rPr>
            </w:pPr>
            <w:r w:rsidRPr="00AE0D77">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031355" w:rsidRPr="00AE0D77" w:rsidRDefault="00031355">
            <w:pPr>
              <w:snapToGrid w:val="0"/>
              <w:ind w:left="28"/>
              <w:jc w:val="center"/>
              <w:rPr>
                <w:rFonts w:eastAsia="標楷體"/>
                <w:sz w:val="22"/>
              </w:rPr>
            </w:pPr>
            <w:r w:rsidRPr="00AE0D77">
              <w:rPr>
                <w:rFonts w:eastAsia="標楷體"/>
                <w:sz w:val="22"/>
              </w:rPr>
              <w:t>年增率</w:t>
            </w:r>
          </w:p>
        </w:tc>
      </w:tr>
      <w:tr w:rsidR="00031355" w:rsidRPr="00AE0D77" w:rsidTr="00031355">
        <w:trPr>
          <w:trHeight w:val="580"/>
        </w:trPr>
        <w:tc>
          <w:tcPr>
            <w:tcW w:w="2030" w:type="dxa"/>
            <w:tcBorders>
              <w:top w:val="single" w:sz="4" w:space="0" w:color="auto"/>
              <w:left w:val="nil"/>
              <w:bottom w:val="nil"/>
              <w:right w:val="single" w:sz="4" w:space="0" w:color="auto"/>
            </w:tcBorders>
            <w:vAlign w:val="center"/>
            <w:hideMark/>
          </w:tcPr>
          <w:p w:rsidR="00031355" w:rsidRPr="00AE0D77" w:rsidRDefault="00031355">
            <w:pPr>
              <w:topLinePunct/>
              <w:jc w:val="both"/>
              <w:rPr>
                <w:rFonts w:eastAsia="標楷體"/>
                <w:bCs/>
                <w:szCs w:val="20"/>
              </w:rPr>
            </w:pPr>
            <w:r w:rsidRPr="00AE0D77">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7,771</w:t>
            </w:r>
          </w:p>
        </w:tc>
        <w:tc>
          <w:tcPr>
            <w:tcW w:w="784" w:type="dxa"/>
            <w:tcBorders>
              <w:top w:val="single" w:sz="4" w:space="0" w:color="auto"/>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30.4</w:t>
            </w:r>
          </w:p>
        </w:tc>
        <w:tc>
          <w:tcPr>
            <w:tcW w:w="855" w:type="dxa"/>
            <w:tcBorders>
              <w:top w:val="single" w:sz="4" w:space="0" w:color="auto"/>
              <w:left w:val="nil"/>
              <w:bottom w:val="nil"/>
              <w:right w:val="double" w:sz="4" w:space="0" w:color="auto"/>
            </w:tcBorders>
            <w:vAlign w:val="center"/>
            <w:hideMark/>
          </w:tcPr>
          <w:p w:rsidR="00031355" w:rsidRPr="00AE0D77" w:rsidRDefault="00031355">
            <w:pPr>
              <w:jc w:val="center"/>
              <w:rPr>
                <w:rFonts w:eastAsia="標楷體"/>
              </w:rPr>
            </w:pPr>
            <w:r w:rsidRPr="00AE0D77">
              <w:rPr>
                <w:rFonts w:eastAsia="標楷體"/>
              </w:rPr>
              <w:t>7.5</w:t>
            </w:r>
          </w:p>
        </w:tc>
        <w:tc>
          <w:tcPr>
            <w:tcW w:w="2141" w:type="dxa"/>
            <w:tcBorders>
              <w:top w:val="single" w:sz="4" w:space="0" w:color="auto"/>
              <w:left w:val="double" w:sz="4" w:space="0" w:color="auto"/>
              <w:bottom w:val="nil"/>
              <w:right w:val="single" w:sz="4" w:space="0" w:color="auto"/>
            </w:tcBorders>
            <w:vAlign w:val="center"/>
            <w:hideMark/>
          </w:tcPr>
          <w:p w:rsidR="00031355" w:rsidRPr="00AE0D77" w:rsidRDefault="00031355">
            <w:pPr>
              <w:topLinePunct/>
              <w:rPr>
                <w:rFonts w:eastAsia="標楷體"/>
                <w:bCs/>
                <w:kern w:val="0"/>
                <w:szCs w:val="20"/>
              </w:rPr>
            </w:pPr>
            <w:r w:rsidRPr="00AE0D77">
              <w:rPr>
                <w:rFonts w:eastAsia="標楷體"/>
                <w:bCs/>
                <w:szCs w:val="20"/>
              </w:rPr>
              <w:t>電子零組件</w:t>
            </w:r>
          </w:p>
        </w:tc>
        <w:tc>
          <w:tcPr>
            <w:tcW w:w="1071" w:type="dxa"/>
            <w:tcBorders>
              <w:top w:val="single" w:sz="4" w:space="0" w:color="auto"/>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4,175</w:t>
            </w:r>
          </w:p>
        </w:tc>
        <w:tc>
          <w:tcPr>
            <w:tcW w:w="730" w:type="dxa"/>
            <w:tcBorders>
              <w:top w:val="single" w:sz="4" w:space="0" w:color="auto"/>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18.9</w:t>
            </w:r>
          </w:p>
        </w:tc>
        <w:tc>
          <w:tcPr>
            <w:tcW w:w="807" w:type="dxa"/>
            <w:tcBorders>
              <w:top w:val="single" w:sz="4" w:space="0" w:color="auto"/>
              <w:left w:val="nil"/>
              <w:bottom w:val="nil"/>
              <w:right w:val="nil"/>
            </w:tcBorders>
            <w:vAlign w:val="center"/>
            <w:hideMark/>
          </w:tcPr>
          <w:p w:rsidR="00031355" w:rsidRPr="00AE0D77" w:rsidRDefault="00031355">
            <w:pPr>
              <w:jc w:val="center"/>
              <w:rPr>
                <w:rFonts w:eastAsia="標楷體"/>
              </w:rPr>
            </w:pPr>
            <w:r w:rsidRPr="00AE0D77">
              <w:rPr>
                <w:rFonts w:eastAsia="標楷體"/>
              </w:rPr>
              <w:t>19.7</w:t>
            </w:r>
          </w:p>
        </w:tc>
      </w:tr>
      <w:tr w:rsidR="00031355" w:rsidRPr="00AE0D77" w:rsidTr="00031355">
        <w:trPr>
          <w:trHeight w:val="580"/>
        </w:trPr>
        <w:tc>
          <w:tcPr>
            <w:tcW w:w="2030" w:type="dxa"/>
            <w:tcBorders>
              <w:top w:val="nil"/>
              <w:left w:val="nil"/>
              <w:bottom w:val="nil"/>
              <w:right w:val="single" w:sz="4" w:space="0" w:color="auto"/>
            </w:tcBorders>
            <w:vAlign w:val="center"/>
            <w:hideMark/>
          </w:tcPr>
          <w:p w:rsidR="00031355" w:rsidRPr="00AE0D77" w:rsidRDefault="00031355">
            <w:pPr>
              <w:topLinePunct/>
              <w:jc w:val="both"/>
              <w:rPr>
                <w:rFonts w:eastAsia="標楷體"/>
                <w:bCs/>
                <w:szCs w:val="20"/>
              </w:rPr>
            </w:pPr>
            <w:r w:rsidRPr="00AE0D77">
              <w:rPr>
                <w:rFonts w:eastAsia="標楷體"/>
                <w:bCs/>
                <w:szCs w:val="20"/>
              </w:rPr>
              <w:t>資通與視聽產品</w:t>
            </w:r>
          </w:p>
        </w:tc>
        <w:tc>
          <w:tcPr>
            <w:tcW w:w="1080"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2,676</w:t>
            </w:r>
          </w:p>
        </w:tc>
        <w:tc>
          <w:tcPr>
            <w:tcW w:w="784"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10.5</w:t>
            </w:r>
          </w:p>
        </w:tc>
        <w:tc>
          <w:tcPr>
            <w:tcW w:w="855" w:type="dxa"/>
            <w:tcBorders>
              <w:top w:val="nil"/>
              <w:left w:val="nil"/>
              <w:bottom w:val="nil"/>
              <w:right w:val="double" w:sz="4" w:space="0" w:color="auto"/>
            </w:tcBorders>
            <w:vAlign w:val="center"/>
            <w:hideMark/>
          </w:tcPr>
          <w:p w:rsidR="00031355" w:rsidRPr="00AE0D77" w:rsidRDefault="00031355">
            <w:pPr>
              <w:jc w:val="center"/>
              <w:rPr>
                <w:rFonts w:eastAsia="標楷體"/>
              </w:rPr>
            </w:pPr>
            <w:r w:rsidRPr="00AE0D77">
              <w:rPr>
                <w:rFonts w:eastAsia="標楷體"/>
              </w:rPr>
              <w:t>11.0</w:t>
            </w:r>
          </w:p>
        </w:tc>
        <w:tc>
          <w:tcPr>
            <w:tcW w:w="2141" w:type="dxa"/>
            <w:tcBorders>
              <w:top w:val="nil"/>
              <w:left w:val="double" w:sz="4" w:space="0" w:color="auto"/>
              <w:bottom w:val="nil"/>
              <w:right w:val="single" w:sz="4" w:space="0" w:color="auto"/>
            </w:tcBorders>
            <w:vAlign w:val="center"/>
            <w:hideMark/>
          </w:tcPr>
          <w:p w:rsidR="00031355" w:rsidRPr="00AE0D77" w:rsidRDefault="00031355">
            <w:pPr>
              <w:topLinePunct/>
              <w:rPr>
                <w:rFonts w:eastAsia="標楷體"/>
                <w:bCs/>
                <w:szCs w:val="20"/>
              </w:rPr>
            </w:pPr>
            <w:r w:rsidRPr="00AE0D77">
              <w:rPr>
                <w:rFonts w:eastAsia="標楷體"/>
                <w:bCs/>
                <w:szCs w:val="20"/>
              </w:rPr>
              <w:t>礦產品</w:t>
            </w:r>
          </w:p>
        </w:tc>
        <w:tc>
          <w:tcPr>
            <w:tcW w:w="1071"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3,687</w:t>
            </w:r>
          </w:p>
        </w:tc>
        <w:tc>
          <w:tcPr>
            <w:tcW w:w="730"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16.7</w:t>
            </w:r>
          </w:p>
        </w:tc>
        <w:tc>
          <w:tcPr>
            <w:tcW w:w="807" w:type="dxa"/>
            <w:tcBorders>
              <w:top w:val="nil"/>
              <w:left w:val="nil"/>
              <w:bottom w:val="nil"/>
              <w:right w:val="nil"/>
            </w:tcBorders>
            <w:vAlign w:val="center"/>
            <w:hideMark/>
          </w:tcPr>
          <w:p w:rsidR="00031355" w:rsidRPr="00AE0D77" w:rsidRDefault="00031355">
            <w:pPr>
              <w:jc w:val="center"/>
              <w:rPr>
                <w:rFonts w:eastAsia="標楷體"/>
              </w:rPr>
            </w:pPr>
            <w:r w:rsidRPr="00AE0D77">
              <w:rPr>
                <w:rFonts w:eastAsia="標楷體"/>
              </w:rPr>
              <w:t>22.0</w:t>
            </w:r>
          </w:p>
        </w:tc>
      </w:tr>
      <w:tr w:rsidR="00031355" w:rsidRPr="00AE0D77" w:rsidTr="00031355">
        <w:trPr>
          <w:trHeight w:val="580"/>
        </w:trPr>
        <w:tc>
          <w:tcPr>
            <w:tcW w:w="2030" w:type="dxa"/>
            <w:tcBorders>
              <w:top w:val="nil"/>
              <w:left w:val="nil"/>
              <w:bottom w:val="nil"/>
              <w:right w:val="single" w:sz="4" w:space="0" w:color="auto"/>
            </w:tcBorders>
            <w:vAlign w:val="center"/>
            <w:hideMark/>
          </w:tcPr>
          <w:p w:rsidR="00031355" w:rsidRPr="00AE0D77" w:rsidRDefault="00031355">
            <w:pPr>
              <w:topLinePunct/>
              <w:jc w:val="both"/>
              <w:rPr>
                <w:rFonts w:eastAsia="標楷體"/>
                <w:bCs/>
                <w:szCs w:val="20"/>
              </w:rPr>
            </w:pPr>
            <w:r w:rsidRPr="00AE0D77">
              <w:rPr>
                <w:rFonts w:eastAsia="標楷體"/>
                <w:bCs/>
                <w:szCs w:val="20"/>
              </w:rPr>
              <w:t>基本金屬及其製品</w:t>
            </w:r>
          </w:p>
        </w:tc>
        <w:tc>
          <w:tcPr>
            <w:tcW w:w="1080"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2,557</w:t>
            </w:r>
          </w:p>
        </w:tc>
        <w:tc>
          <w:tcPr>
            <w:tcW w:w="784"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10.1</w:t>
            </w:r>
          </w:p>
        </w:tc>
        <w:tc>
          <w:tcPr>
            <w:tcW w:w="855" w:type="dxa"/>
            <w:tcBorders>
              <w:top w:val="nil"/>
              <w:left w:val="nil"/>
              <w:bottom w:val="nil"/>
              <w:right w:val="double" w:sz="4" w:space="0" w:color="auto"/>
            </w:tcBorders>
            <w:vAlign w:val="center"/>
            <w:hideMark/>
          </w:tcPr>
          <w:p w:rsidR="00031355" w:rsidRPr="00AE0D77" w:rsidRDefault="00031355">
            <w:pPr>
              <w:jc w:val="center"/>
              <w:rPr>
                <w:rFonts w:eastAsia="標楷體"/>
              </w:rPr>
            </w:pPr>
            <w:r w:rsidRPr="00AE0D77">
              <w:rPr>
                <w:rFonts w:eastAsia="標楷體"/>
              </w:rPr>
              <w:t>22.9</w:t>
            </w:r>
          </w:p>
        </w:tc>
        <w:tc>
          <w:tcPr>
            <w:tcW w:w="2141" w:type="dxa"/>
            <w:tcBorders>
              <w:top w:val="nil"/>
              <w:left w:val="double" w:sz="4" w:space="0" w:color="auto"/>
              <w:bottom w:val="nil"/>
              <w:right w:val="single" w:sz="4" w:space="0" w:color="auto"/>
            </w:tcBorders>
            <w:vAlign w:val="center"/>
            <w:hideMark/>
          </w:tcPr>
          <w:p w:rsidR="00031355" w:rsidRPr="00AE0D77" w:rsidRDefault="00031355">
            <w:pPr>
              <w:topLinePunct/>
              <w:rPr>
                <w:rFonts w:eastAsia="標楷體"/>
                <w:bCs/>
                <w:szCs w:val="20"/>
              </w:rPr>
            </w:pPr>
            <w:r w:rsidRPr="00AE0D77">
              <w:rPr>
                <w:rFonts w:eastAsia="標楷體"/>
                <w:bCs/>
                <w:szCs w:val="20"/>
              </w:rPr>
              <w:t>機械</w:t>
            </w:r>
          </w:p>
        </w:tc>
        <w:tc>
          <w:tcPr>
            <w:tcW w:w="1071"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2,353</w:t>
            </w:r>
          </w:p>
        </w:tc>
        <w:tc>
          <w:tcPr>
            <w:tcW w:w="730"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10.7</w:t>
            </w:r>
          </w:p>
        </w:tc>
        <w:tc>
          <w:tcPr>
            <w:tcW w:w="807" w:type="dxa"/>
            <w:tcBorders>
              <w:top w:val="nil"/>
              <w:left w:val="nil"/>
              <w:bottom w:val="nil"/>
              <w:right w:val="nil"/>
            </w:tcBorders>
            <w:vAlign w:val="center"/>
            <w:hideMark/>
          </w:tcPr>
          <w:p w:rsidR="00031355" w:rsidRPr="00AE0D77" w:rsidRDefault="00031355">
            <w:pPr>
              <w:jc w:val="center"/>
              <w:rPr>
                <w:rFonts w:eastAsia="標楷體"/>
              </w:rPr>
            </w:pPr>
            <w:r w:rsidRPr="00AE0D77">
              <w:rPr>
                <w:rFonts w:eastAsia="標楷體"/>
              </w:rPr>
              <w:t>-1.9</w:t>
            </w:r>
          </w:p>
        </w:tc>
      </w:tr>
      <w:tr w:rsidR="00031355" w:rsidRPr="00AE0D77" w:rsidTr="00031355">
        <w:trPr>
          <w:trHeight w:val="580"/>
        </w:trPr>
        <w:tc>
          <w:tcPr>
            <w:tcW w:w="2030" w:type="dxa"/>
            <w:tcBorders>
              <w:top w:val="nil"/>
              <w:left w:val="nil"/>
              <w:bottom w:val="nil"/>
              <w:right w:val="single" w:sz="4" w:space="0" w:color="auto"/>
            </w:tcBorders>
            <w:vAlign w:val="center"/>
            <w:hideMark/>
          </w:tcPr>
          <w:p w:rsidR="00031355" w:rsidRPr="00AE0D77" w:rsidRDefault="00031355">
            <w:pPr>
              <w:topLinePunct/>
              <w:jc w:val="both"/>
              <w:rPr>
                <w:rFonts w:eastAsia="標楷體"/>
                <w:bCs/>
                <w:szCs w:val="20"/>
              </w:rPr>
            </w:pPr>
            <w:r w:rsidRPr="00AE0D77">
              <w:rPr>
                <w:rFonts w:eastAsia="標楷體"/>
                <w:bCs/>
                <w:szCs w:val="20"/>
              </w:rPr>
              <w:t>機械</w:t>
            </w:r>
          </w:p>
        </w:tc>
        <w:tc>
          <w:tcPr>
            <w:tcW w:w="1080"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2,178</w:t>
            </w:r>
          </w:p>
        </w:tc>
        <w:tc>
          <w:tcPr>
            <w:tcW w:w="784"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8.5</w:t>
            </w:r>
          </w:p>
        </w:tc>
        <w:tc>
          <w:tcPr>
            <w:tcW w:w="855" w:type="dxa"/>
            <w:tcBorders>
              <w:top w:val="nil"/>
              <w:left w:val="nil"/>
              <w:bottom w:val="nil"/>
              <w:right w:val="double" w:sz="4" w:space="0" w:color="auto"/>
            </w:tcBorders>
            <w:vAlign w:val="center"/>
            <w:hideMark/>
          </w:tcPr>
          <w:p w:rsidR="00031355" w:rsidRPr="00AE0D77" w:rsidRDefault="00031355">
            <w:pPr>
              <w:jc w:val="center"/>
              <w:rPr>
                <w:rFonts w:eastAsia="標楷體"/>
              </w:rPr>
            </w:pPr>
            <w:r w:rsidRPr="00AE0D77">
              <w:rPr>
                <w:rFonts w:eastAsia="標楷體"/>
              </w:rPr>
              <w:t>19.0</w:t>
            </w:r>
          </w:p>
        </w:tc>
        <w:tc>
          <w:tcPr>
            <w:tcW w:w="2141" w:type="dxa"/>
            <w:tcBorders>
              <w:top w:val="nil"/>
              <w:left w:val="double" w:sz="4" w:space="0" w:color="auto"/>
              <w:bottom w:val="nil"/>
              <w:right w:val="single" w:sz="4" w:space="0" w:color="auto"/>
            </w:tcBorders>
            <w:vAlign w:val="center"/>
            <w:hideMark/>
          </w:tcPr>
          <w:p w:rsidR="00031355" w:rsidRPr="00AE0D77" w:rsidRDefault="00031355">
            <w:pPr>
              <w:topLinePunct/>
              <w:rPr>
                <w:rFonts w:eastAsia="標楷體"/>
                <w:bCs/>
                <w:szCs w:val="20"/>
              </w:rPr>
            </w:pPr>
            <w:r w:rsidRPr="00AE0D77">
              <w:rPr>
                <w:rFonts w:eastAsia="標楷體"/>
                <w:bCs/>
                <w:szCs w:val="20"/>
              </w:rPr>
              <w:t>化學品</w:t>
            </w:r>
          </w:p>
        </w:tc>
        <w:tc>
          <w:tcPr>
            <w:tcW w:w="1071"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2,286</w:t>
            </w:r>
          </w:p>
        </w:tc>
        <w:tc>
          <w:tcPr>
            <w:tcW w:w="730"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10.4</w:t>
            </w:r>
          </w:p>
        </w:tc>
        <w:tc>
          <w:tcPr>
            <w:tcW w:w="807" w:type="dxa"/>
            <w:tcBorders>
              <w:top w:val="nil"/>
              <w:left w:val="nil"/>
              <w:bottom w:val="nil"/>
              <w:right w:val="nil"/>
            </w:tcBorders>
            <w:vAlign w:val="center"/>
            <w:hideMark/>
          </w:tcPr>
          <w:p w:rsidR="00031355" w:rsidRPr="00AE0D77" w:rsidRDefault="00031355">
            <w:pPr>
              <w:jc w:val="center"/>
              <w:rPr>
                <w:rFonts w:eastAsia="標楷體"/>
              </w:rPr>
            </w:pPr>
            <w:r w:rsidRPr="00AE0D77">
              <w:rPr>
                <w:rFonts w:eastAsia="標楷體"/>
              </w:rPr>
              <w:t>1.2</w:t>
            </w:r>
          </w:p>
        </w:tc>
      </w:tr>
      <w:tr w:rsidR="00031355" w:rsidRPr="00AE0D77" w:rsidTr="00031355">
        <w:trPr>
          <w:trHeight w:val="580"/>
        </w:trPr>
        <w:tc>
          <w:tcPr>
            <w:tcW w:w="2030" w:type="dxa"/>
            <w:tcBorders>
              <w:top w:val="nil"/>
              <w:left w:val="nil"/>
              <w:bottom w:val="nil"/>
              <w:right w:val="single" w:sz="4" w:space="0" w:color="auto"/>
            </w:tcBorders>
            <w:vAlign w:val="center"/>
            <w:hideMark/>
          </w:tcPr>
          <w:p w:rsidR="00031355" w:rsidRPr="00AE0D77" w:rsidRDefault="00031355">
            <w:pPr>
              <w:topLinePunct/>
              <w:jc w:val="both"/>
              <w:rPr>
                <w:rFonts w:eastAsia="標楷體"/>
                <w:bCs/>
                <w:szCs w:val="20"/>
              </w:rPr>
            </w:pPr>
            <w:r w:rsidRPr="00AE0D77">
              <w:rPr>
                <w:rFonts w:eastAsia="標楷體"/>
                <w:bCs/>
                <w:szCs w:val="20"/>
              </w:rPr>
              <w:t>塑橡膠及其製品</w:t>
            </w:r>
          </w:p>
        </w:tc>
        <w:tc>
          <w:tcPr>
            <w:tcW w:w="1080"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1,958</w:t>
            </w:r>
          </w:p>
        </w:tc>
        <w:tc>
          <w:tcPr>
            <w:tcW w:w="784"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7.7</w:t>
            </w:r>
          </w:p>
        </w:tc>
        <w:tc>
          <w:tcPr>
            <w:tcW w:w="855" w:type="dxa"/>
            <w:tcBorders>
              <w:top w:val="nil"/>
              <w:left w:val="nil"/>
              <w:bottom w:val="nil"/>
              <w:right w:val="double" w:sz="4" w:space="0" w:color="auto"/>
            </w:tcBorders>
            <w:vAlign w:val="center"/>
            <w:hideMark/>
          </w:tcPr>
          <w:p w:rsidR="00031355" w:rsidRPr="00AE0D77" w:rsidRDefault="00031355">
            <w:pPr>
              <w:jc w:val="center"/>
              <w:rPr>
                <w:rFonts w:eastAsia="標楷體"/>
              </w:rPr>
            </w:pPr>
            <w:r w:rsidRPr="00AE0D77">
              <w:rPr>
                <w:rFonts w:eastAsia="標楷體"/>
              </w:rPr>
              <w:t>16.2</w:t>
            </w:r>
          </w:p>
        </w:tc>
        <w:tc>
          <w:tcPr>
            <w:tcW w:w="2141" w:type="dxa"/>
            <w:tcBorders>
              <w:top w:val="nil"/>
              <w:left w:val="double" w:sz="4" w:space="0" w:color="auto"/>
              <w:bottom w:val="nil"/>
              <w:right w:val="single" w:sz="4" w:space="0" w:color="auto"/>
            </w:tcBorders>
            <w:vAlign w:val="center"/>
            <w:hideMark/>
          </w:tcPr>
          <w:p w:rsidR="00031355" w:rsidRPr="00AE0D77" w:rsidRDefault="00031355">
            <w:pPr>
              <w:topLinePunct/>
              <w:rPr>
                <w:rFonts w:eastAsia="標楷體"/>
                <w:bCs/>
                <w:szCs w:val="20"/>
              </w:rPr>
            </w:pPr>
            <w:r w:rsidRPr="00AE0D77">
              <w:rPr>
                <w:rFonts w:eastAsia="標楷體"/>
                <w:bCs/>
                <w:szCs w:val="20"/>
              </w:rPr>
              <w:t>基本金屬及其製品</w:t>
            </w:r>
          </w:p>
        </w:tc>
        <w:tc>
          <w:tcPr>
            <w:tcW w:w="1071"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1,892</w:t>
            </w:r>
          </w:p>
        </w:tc>
        <w:tc>
          <w:tcPr>
            <w:tcW w:w="730"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8.6</w:t>
            </w:r>
          </w:p>
        </w:tc>
        <w:tc>
          <w:tcPr>
            <w:tcW w:w="807" w:type="dxa"/>
            <w:tcBorders>
              <w:top w:val="nil"/>
              <w:left w:val="nil"/>
              <w:bottom w:val="nil"/>
              <w:right w:val="nil"/>
            </w:tcBorders>
            <w:vAlign w:val="center"/>
            <w:hideMark/>
          </w:tcPr>
          <w:p w:rsidR="00031355" w:rsidRPr="00AE0D77" w:rsidRDefault="00031355">
            <w:pPr>
              <w:jc w:val="center"/>
              <w:rPr>
                <w:rFonts w:eastAsia="標楷體"/>
              </w:rPr>
            </w:pPr>
            <w:r w:rsidRPr="00AE0D77">
              <w:rPr>
                <w:rFonts w:eastAsia="標楷體"/>
              </w:rPr>
              <w:t>24.1</w:t>
            </w:r>
          </w:p>
        </w:tc>
      </w:tr>
      <w:tr w:rsidR="00031355" w:rsidRPr="00AE0D77" w:rsidTr="00031355">
        <w:trPr>
          <w:trHeight w:val="580"/>
        </w:trPr>
        <w:tc>
          <w:tcPr>
            <w:tcW w:w="2030" w:type="dxa"/>
            <w:tcBorders>
              <w:top w:val="nil"/>
              <w:left w:val="nil"/>
              <w:bottom w:val="nil"/>
              <w:right w:val="single" w:sz="4" w:space="0" w:color="auto"/>
            </w:tcBorders>
            <w:vAlign w:val="center"/>
            <w:hideMark/>
          </w:tcPr>
          <w:p w:rsidR="00031355" w:rsidRPr="00AE0D77" w:rsidRDefault="00031355">
            <w:pPr>
              <w:topLinePunct/>
              <w:rPr>
                <w:rFonts w:eastAsia="標楷體"/>
                <w:bCs/>
                <w:szCs w:val="20"/>
              </w:rPr>
            </w:pPr>
            <w:r w:rsidRPr="00AE0D77">
              <w:rPr>
                <w:rFonts w:eastAsia="標楷體"/>
                <w:bCs/>
                <w:szCs w:val="20"/>
              </w:rPr>
              <w:t>化學品</w:t>
            </w:r>
          </w:p>
        </w:tc>
        <w:tc>
          <w:tcPr>
            <w:tcW w:w="1080"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1,582</w:t>
            </w:r>
          </w:p>
        </w:tc>
        <w:tc>
          <w:tcPr>
            <w:tcW w:w="784"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6.2</w:t>
            </w:r>
          </w:p>
        </w:tc>
        <w:tc>
          <w:tcPr>
            <w:tcW w:w="855" w:type="dxa"/>
            <w:tcBorders>
              <w:top w:val="nil"/>
              <w:left w:val="nil"/>
              <w:bottom w:val="nil"/>
              <w:right w:val="double" w:sz="4" w:space="0" w:color="auto"/>
            </w:tcBorders>
            <w:vAlign w:val="center"/>
            <w:hideMark/>
          </w:tcPr>
          <w:p w:rsidR="00031355" w:rsidRPr="00AE0D77" w:rsidRDefault="00031355">
            <w:pPr>
              <w:jc w:val="center"/>
              <w:rPr>
                <w:rFonts w:eastAsia="標楷體"/>
              </w:rPr>
            </w:pPr>
            <w:r w:rsidRPr="00AE0D77">
              <w:rPr>
                <w:rFonts w:eastAsia="標楷體"/>
              </w:rPr>
              <w:t>-0.5</w:t>
            </w:r>
          </w:p>
        </w:tc>
        <w:tc>
          <w:tcPr>
            <w:tcW w:w="2141" w:type="dxa"/>
            <w:tcBorders>
              <w:top w:val="nil"/>
              <w:left w:val="double" w:sz="4" w:space="0" w:color="auto"/>
              <w:bottom w:val="nil"/>
              <w:right w:val="single" w:sz="4" w:space="0" w:color="auto"/>
            </w:tcBorders>
            <w:vAlign w:val="center"/>
            <w:hideMark/>
          </w:tcPr>
          <w:p w:rsidR="00031355" w:rsidRPr="00AE0D77" w:rsidRDefault="00031355">
            <w:pPr>
              <w:topLinePunct/>
              <w:rPr>
                <w:rFonts w:eastAsia="標楷體"/>
                <w:bCs/>
                <w:szCs w:val="20"/>
              </w:rPr>
            </w:pPr>
            <w:r w:rsidRPr="00AE0D77">
              <w:rPr>
                <w:rFonts w:eastAsia="標楷體"/>
                <w:bCs/>
                <w:szCs w:val="20"/>
              </w:rPr>
              <w:t>資通與視聽產品</w:t>
            </w:r>
          </w:p>
        </w:tc>
        <w:tc>
          <w:tcPr>
            <w:tcW w:w="1071" w:type="dxa"/>
            <w:tcBorders>
              <w:top w:val="nil"/>
              <w:left w:val="single" w:sz="4" w:space="0" w:color="auto"/>
              <w:bottom w:val="nil"/>
              <w:right w:val="nil"/>
            </w:tcBorders>
            <w:vAlign w:val="center"/>
            <w:hideMark/>
          </w:tcPr>
          <w:p w:rsidR="00031355" w:rsidRPr="00AE0D77" w:rsidRDefault="00031355">
            <w:pPr>
              <w:jc w:val="center"/>
              <w:rPr>
                <w:rFonts w:eastAsia="標楷體"/>
              </w:rPr>
            </w:pPr>
            <w:r w:rsidRPr="00AE0D77">
              <w:rPr>
                <w:rFonts w:eastAsia="標楷體"/>
              </w:rPr>
              <w:t>1,246</w:t>
            </w:r>
          </w:p>
        </w:tc>
        <w:tc>
          <w:tcPr>
            <w:tcW w:w="730" w:type="dxa"/>
            <w:tcBorders>
              <w:top w:val="nil"/>
              <w:left w:val="single" w:sz="4" w:space="0" w:color="auto"/>
              <w:bottom w:val="nil"/>
              <w:right w:val="single" w:sz="4" w:space="0" w:color="auto"/>
            </w:tcBorders>
            <w:vAlign w:val="center"/>
            <w:hideMark/>
          </w:tcPr>
          <w:p w:rsidR="00031355" w:rsidRPr="00AE0D77" w:rsidRDefault="00031355">
            <w:pPr>
              <w:jc w:val="center"/>
              <w:rPr>
                <w:rFonts w:eastAsia="標楷體"/>
              </w:rPr>
            </w:pPr>
            <w:r w:rsidRPr="00AE0D77">
              <w:rPr>
                <w:rFonts w:eastAsia="標楷體"/>
              </w:rPr>
              <w:t>5.6</w:t>
            </w:r>
          </w:p>
        </w:tc>
        <w:tc>
          <w:tcPr>
            <w:tcW w:w="807" w:type="dxa"/>
            <w:tcBorders>
              <w:top w:val="nil"/>
              <w:left w:val="nil"/>
              <w:bottom w:val="nil"/>
              <w:right w:val="nil"/>
            </w:tcBorders>
            <w:vAlign w:val="center"/>
            <w:hideMark/>
          </w:tcPr>
          <w:p w:rsidR="00031355" w:rsidRPr="00AE0D77" w:rsidRDefault="00031355">
            <w:pPr>
              <w:jc w:val="center"/>
              <w:rPr>
                <w:rFonts w:eastAsia="標楷體"/>
              </w:rPr>
            </w:pPr>
            <w:r w:rsidRPr="00AE0D77">
              <w:rPr>
                <w:rFonts w:eastAsia="標楷體"/>
              </w:rPr>
              <w:t>20.3</w:t>
            </w:r>
          </w:p>
        </w:tc>
      </w:tr>
      <w:tr w:rsidR="00031355" w:rsidRPr="00AE0D77" w:rsidTr="00031355">
        <w:trPr>
          <w:trHeight w:val="580"/>
        </w:trPr>
        <w:tc>
          <w:tcPr>
            <w:tcW w:w="2030" w:type="dxa"/>
            <w:tcBorders>
              <w:top w:val="nil"/>
              <w:left w:val="nil"/>
              <w:bottom w:val="single" w:sz="4" w:space="0" w:color="auto"/>
              <w:right w:val="single" w:sz="4" w:space="0" w:color="auto"/>
            </w:tcBorders>
            <w:vAlign w:val="center"/>
            <w:hideMark/>
          </w:tcPr>
          <w:p w:rsidR="00031355" w:rsidRPr="00AE0D77" w:rsidRDefault="00031355">
            <w:pPr>
              <w:topLinePunct/>
              <w:jc w:val="both"/>
              <w:rPr>
                <w:rFonts w:eastAsia="標楷體"/>
                <w:bCs/>
                <w:szCs w:val="20"/>
              </w:rPr>
            </w:pPr>
            <w:r w:rsidRPr="00AE0D77">
              <w:rPr>
                <w:rFonts w:eastAsia="標楷體"/>
                <w:bCs/>
                <w:szCs w:val="20"/>
              </w:rPr>
              <w:t>礦產品</w:t>
            </w:r>
          </w:p>
        </w:tc>
        <w:tc>
          <w:tcPr>
            <w:tcW w:w="1080" w:type="dxa"/>
            <w:tcBorders>
              <w:top w:val="nil"/>
              <w:left w:val="single" w:sz="4" w:space="0" w:color="auto"/>
              <w:bottom w:val="single" w:sz="4" w:space="0" w:color="auto"/>
              <w:right w:val="single" w:sz="4" w:space="0" w:color="auto"/>
            </w:tcBorders>
            <w:vAlign w:val="center"/>
            <w:hideMark/>
          </w:tcPr>
          <w:p w:rsidR="00031355" w:rsidRPr="00AE0D77" w:rsidRDefault="00031355">
            <w:pPr>
              <w:jc w:val="center"/>
              <w:rPr>
                <w:rFonts w:eastAsia="標楷體"/>
              </w:rPr>
            </w:pPr>
            <w:r w:rsidRPr="00AE0D77">
              <w:rPr>
                <w:rFonts w:eastAsia="標楷體"/>
              </w:rPr>
              <w:t>1,047</w:t>
            </w:r>
          </w:p>
        </w:tc>
        <w:tc>
          <w:tcPr>
            <w:tcW w:w="784" w:type="dxa"/>
            <w:tcBorders>
              <w:top w:val="nil"/>
              <w:left w:val="single" w:sz="4" w:space="0" w:color="auto"/>
              <w:bottom w:val="single" w:sz="4" w:space="0" w:color="auto"/>
              <w:right w:val="single" w:sz="4" w:space="0" w:color="auto"/>
            </w:tcBorders>
            <w:vAlign w:val="center"/>
            <w:hideMark/>
          </w:tcPr>
          <w:p w:rsidR="00031355" w:rsidRPr="00AE0D77" w:rsidRDefault="00031355">
            <w:pPr>
              <w:jc w:val="center"/>
              <w:rPr>
                <w:rFonts w:eastAsia="標楷體"/>
              </w:rPr>
            </w:pPr>
            <w:r w:rsidRPr="00AE0D77">
              <w:rPr>
                <w:rFonts w:eastAsia="標楷體"/>
              </w:rPr>
              <w:t>4.1</w:t>
            </w:r>
          </w:p>
        </w:tc>
        <w:tc>
          <w:tcPr>
            <w:tcW w:w="855" w:type="dxa"/>
            <w:tcBorders>
              <w:top w:val="nil"/>
              <w:left w:val="single" w:sz="4" w:space="0" w:color="auto"/>
              <w:bottom w:val="single" w:sz="4" w:space="0" w:color="auto"/>
              <w:right w:val="double" w:sz="4" w:space="0" w:color="auto"/>
            </w:tcBorders>
            <w:vAlign w:val="center"/>
            <w:hideMark/>
          </w:tcPr>
          <w:p w:rsidR="00031355" w:rsidRPr="00AE0D77" w:rsidRDefault="00031355">
            <w:pPr>
              <w:jc w:val="center"/>
              <w:rPr>
                <w:rFonts w:eastAsia="標楷體"/>
              </w:rPr>
            </w:pPr>
            <w:r w:rsidRPr="00AE0D77">
              <w:rPr>
                <w:rFonts w:eastAsia="標楷體"/>
              </w:rPr>
              <w:t>10.6</w:t>
            </w:r>
          </w:p>
        </w:tc>
        <w:tc>
          <w:tcPr>
            <w:tcW w:w="2141" w:type="dxa"/>
            <w:tcBorders>
              <w:top w:val="nil"/>
              <w:left w:val="double" w:sz="4" w:space="0" w:color="auto"/>
              <w:bottom w:val="single" w:sz="4" w:space="0" w:color="auto"/>
              <w:right w:val="single" w:sz="4" w:space="0" w:color="auto"/>
            </w:tcBorders>
            <w:vAlign w:val="center"/>
            <w:hideMark/>
          </w:tcPr>
          <w:p w:rsidR="00031355" w:rsidRPr="00AE0D77" w:rsidRDefault="00031355">
            <w:pPr>
              <w:topLinePunct/>
              <w:rPr>
                <w:rFonts w:eastAsia="標楷體"/>
                <w:bCs/>
                <w:szCs w:val="20"/>
              </w:rPr>
            </w:pPr>
            <w:r w:rsidRPr="00AE0D77">
              <w:rPr>
                <w:rFonts w:eastAsia="標楷體"/>
                <w:bCs/>
                <w:szCs w:val="20"/>
              </w:rPr>
              <w:t>運輸工具</w:t>
            </w:r>
          </w:p>
        </w:tc>
        <w:tc>
          <w:tcPr>
            <w:tcW w:w="1071" w:type="dxa"/>
            <w:tcBorders>
              <w:top w:val="nil"/>
              <w:left w:val="single" w:sz="4" w:space="0" w:color="auto"/>
              <w:bottom w:val="single" w:sz="4" w:space="0" w:color="auto"/>
              <w:right w:val="single" w:sz="4" w:space="0" w:color="auto"/>
            </w:tcBorders>
            <w:vAlign w:val="center"/>
            <w:hideMark/>
          </w:tcPr>
          <w:p w:rsidR="00031355" w:rsidRPr="00AE0D77" w:rsidRDefault="00031355">
            <w:pPr>
              <w:jc w:val="center"/>
              <w:rPr>
                <w:rFonts w:eastAsia="標楷體"/>
              </w:rPr>
            </w:pPr>
            <w:r w:rsidRPr="00AE0D77">
              <w:rPr>
                <w:rFonts w:eastAsia="標楷體"/>
              </w:rPr>
              <w:t>1,072</w:t>
            </w:r>
          </w:p>
        </w:tc>
        <w:tc>
          <w:tcPr>
            <w:tcW w:w="730" w:type="dxa"/>
            <w:tcBorders>
              <w:top w:val="nil"/>
              <w:left w:val="single" w:sz="4" w:space="0" w:color="auto"/>
              <w:bottom w:val="single" w:sz="4" w:space="0" w:color="auto"/>
              <w:right w:val="single" w:sz="4" w:space="0" w:color="auto"/>
            </w:tcBorders>
            <w:vAlign w:val="center"/>
            <w:hideMark/>
          </w:tcPr>
          <w:p w:rsidR="00031355" w:rsidRPr="00AE0D77" w:rsidRDefault="00031355">
            <w:pPr>
              <w:jc w:val="center"/>
              <w:rPr>
                <w:rFonts w:eastAsia="標楷體"/>
              </w:rPr>
            </w:pPr>
            <w:r w:rsidRPr="00AE0D77">
              <w:rPr>
                <w:rFonts w:eastAsia="標楷體"/>
              </w:rPr>
              <w:t>4.9</w:t>
            </w:r>
          </w:p>
        </w:tc>
        <w:tc>
          <w:tcPr>
            <w:tcW w:w="807" w:type="dxa"/>
            <w:tcBorders>
              <w:top w:val="nil"/>
              <w:left w:val="single" w:sz="4" w:space="0" w:color="auto"/>
              <w:bottom w:val="single" w:sz="4" w:space="0" w:color="auto"/>
              <w:right w:val="nil"/>
            </w:tcBorders>
            <w:vAlign w:val="center"/>
            <w:hideMark/>
          </w:tcPr>
          <w:p w:rsidR="00031355" w:rsidRPr="00AE0D77" w:rsidRDefault="00031355">
            <w:pPr>
              <w:jc w:val="center"/>
              <w:rPr>
                <w:rFonts w:eastAsia="標楷體"/>
              </w:rPr>
            </w:pPr>
            <w:r w:rsidRPr="00AE0D77">
              <w:rPr>
                <w:rFonts w:eastAsia="標楷體"/>
              </w:rPr>
              <w:t>-0.3</w:t>
            </w:r>
          </w:p>
        </w:tc>
      </w:tr>
    </w:tbl>
    <w:p w:rsidR="003F3F99" w:rsidRPr="00AE0D77" w:rsidRDefault="00F67965" w:rsidP="003F3F99">
      <w:pPr>
        <w:spacing w:line="400" w:lineRule="exact"/>
        <w:rPr>
          <w:rFonts w:eastAsia="標楷體"/>
          <w:kern w:val="0"/>
          <w:sz w:val="22"/>
          <w:szCs w:val="22"/>
        </w:rPr>
      </w:pPr>
      <w:r w:rsidRPr="00AE0D77">
        <w:rPr>
          <w:rFonts w:eastAsia="標楷體"/>
          <w:kern w:val="0"/>
          <w:sz w:val="22"/>
          <w:szCs w:val="22"/>
        </w:rPr>
        <w:t>資料來源：財政部。</w:t>
      </w:r>
    </w:p>
    <w:p w:rsidR="003F3F99" w:rsidRPr="00AE0D77" w:rsidRDefault="003F3F99" w:rsidP="003F3F99">
      <w:pPr>
        <w:widowControl/>
        <w:tabs>
          <w:tab w:val="left" w:pos="540"/>
        </w:tabs>
        <w:snapToGrid w:val="0"/>
        <w:spacing w:beforeLines="50" w:before="180" w:line="300" w:lineRule="auto"/>
        <w:jc w:val="both"/>
        <w:rPr>
          <w:rFonts w:eastAsia="標楷體"/>
          <w:b/>
          <w:bCs/>
          <w:kern w:val="0"/>
          <w:sz w:val="32"/>
          <w:szCs w:val="32"/>
        </w:rPr>
      </w:pPr>
      <w:r w:rsidRPr="00AE0D77">
        <w:rPr>
          <w:rFonts w:eastAsia="標楷體"/>
          <w:kern w:val="0"/>
          <w:sz w:val="28"/>
          <w:szCs w:val="20"/>
        </w:rPr>
        <w:br w:type="page"/>
      </w:r>
    </w:p>
    <w:p w:rsidR="003F3F99" w:rsidRPr="00AE0D77" w:rsidRDefault="003F3F99" w:rsidP="003F3F99">
      <w:pPr>
        <w:keepNext/>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486347633"/>
      <w:r w:rsidRPr="00AE0D77">
        <w:rPr>
          <w:rFonts w:eastAsia="標楷體"/>
          <w:b/>
          <w:bCs/>
          <w:sz w:val="32"/>
          <w:szCs w:val="32"/>
        </w:rPr>
        <w:t>（五）外銷訂單</w:t>
      </w:r>
      <w:bookmarkEnd w:id="101"/>
      <w:bookmarkEnd w:id="102"/>
      <w:bookmarkEnd w:id="103"/>
      <w:bookmarkEnd w:id="104"/>
    </w:p>
    <w:p w:rsidR="00F67965" w:rsidRPr="00AE0D77" w:rsidRDefault="00F67965" w:rsidP="00F67965">
      <w:pPr>
        <w:widowControl/>
        <w:tabs>
          <w:tab w:val="left" w:pos="540"/>
        </w:tabs>
        <w:snapToGrid w:val="0"/>
        <w:spacing w:line="300" w:lineRule="auto"/>
        <w:jc w:val="both"/>
        <w:rPr>
          <w:rFonts w:eastAsia="標楷體"/>
          <w:b/>
          <w:bCs/>
          <w:kern w:val="0"/>
          <w:sz w:val="28"/>
          <w:szCs w:val="20"/>
        </w:rPr>
      </w:pPr>
      <w:r w:rsidRPr="00AE0D77">
        <w:rPr>
          <w:rFonts w:eastAsia="標楷體"/>
          <w:b/>
          <w:bCs/>
          <w:kern w:val="0"/>
          <w:sz w:val="28"/>
          <w:szCs w:val="20"/>
        </w:rPr>
        <w:t>１、</w:t>
      </w:r>
      <w:r w:rsidR="0074591B" w:rsidRPr="00AE0D77">
        <w:rPr>
          <w:rFonts w:eastAsia="標楷體"/>
          <w:b/>
          <w:bCs/>
          <w:kern w:val="0"/>
          <w:sz w:val="28"/>
          <w:szCs w:val="20"/>
        </w:rPr>
        <w:t>106</w:t>
      </w:r>
      <w:r w:rsidR="0074591B" w:rsidRPr="00AE0D77">
        <w:rPr>
          <w:rFonts w:eastAsia="標楷體"/>
          <w:b/>
          <w:bCs/>
          <w:kern w:val="0"/>
          <w:sz w:val="28"/>
          <w:szCs w:val="20"/>
        </w:rPr>
        <w:t>年</w:t>
      </w:r>
      <w:r w:rsidR="0074591B" w:rsidRPr="00AE0D77">
        <w:rPr>
          <w:rFonts w:eastAsia="標楷體"/>
          <w:b/>
          <w:bCs/>
          <w:kern w:val="0"/>
          <w:sz w:val="28"/>
          <w:szCs w:val="20"/>
        </w:rPr>
        <w:t>5</w:t>
      </w:r>
      <w:r w:rsidR="0074591B" w:rsidRPr="00AE0D77">
        <w:rPr>
          <w:rFonts w:eastAsia="標楷體"/>
          <w:b/>
          <w:bCs/>
          <w:kern w:val="0"/>
          <w:sz w:val="28"/>
          <w:szCs w:val="20"/>
        </w:rPr>
        <w:t>月外銷訂單</w:t>
      </w:r>
      <w:r w:rsidR="0074591B" w:rsidRPr="00AE0D77">
        <w:rPr>
          <w:rFonts w:eastAsia="標楷體"/>
          <w:b/>
          <w:bCs/>
          <w:kern w:val="0"/>
          <w:sz w:val="28"/>
          <w:szCs w:val="20"/>
        </w:rPr>
        <w:t>368.1</w:t>
      </w:r>
      <w:r w:rsidR="0074591B" w:rsidRPr="00AE0D77">
        <w:rPr>
          <w:rFonts w:eastAsia="標楷體"/>
          <w:b/>
          <w:bCs/>
          <w:kern w:val="0"/>
          <w:sz w:val="28"/>
          <w:szCs w:val="20"/>
        </w:rPr>
        <w:t>億美元，增加</w:t>
      </w:r>
      <w:r w:rsidR="0074591B" w:rsidRPr="00AE0D77">
        <w:rPr>
          <w:rFonts w:eastAsia="標楷體"/>
          <w:b/>
          <w:bCs/>
          <w:kern w:val="0"/>
          <w:sz w:val="28"/>
          <w:szCs w:val="20"/>
        </w:rPr>
        <w:t>9.1%</w:t>
      </w:r>
    </w:p>
    <w:p w:rsidR="00F67965" w:rsidRPr="00AE0D77" w:rsidRDefault="00090829" w:rsidP="00377745">
      <w:pPr>
        <w:widowControl/>
        <w:topLinePunct/>
        <w:snapToGrid w:val="0"/>
        <w:spacing w:beforeLines="50" w:before="180" w:line="300" w:lineRule="auto"/>
        <w:ind w:rightChars="-59" w:right="-142" w:firstLineChars="202" w:firstLine="566"/>
        <w:jc w:val="both"/>
        <w:rPr>
          <w:rFonts w:eastAsia="標楷體"/>
          <w:b/>
          <w:bCs/>
          <w:sz w:val="28"/>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月外銷訂單金額</w:t>
      </w:r>
      <w:r w:rsidRPr="00AE0D77">
        <w:rPr>
          <w:rFonts w:eastAsia="標楷體"/>
          <w:kern w:val="0"/>
          <w:sz w:val="28"/>
          <w:szCs w:val="20"/>
        </w:rPr>
        <w:t>368.1</w:t>
      </w:r>
      <w:r w:rsidRPr="00AE0D77">
        <w:rPr>
          <w:rFonts w:eastAsia="標楷體"/>
          <w:kern w:val="0"/>
          <w:sz w:val="28"/>
          <w:szCs w:val="20"/>
        </w:rPr>
        <w:t>億美元，較上年同月增加</w:t>
      </w:r>
      <w:r w:rsidRPr="00AE0D77">
        <w:rPr>
          <w:rFonts w:eastAsia="標楷體"/>
          <w:kern w:val="0"/>
          <w:sz w:val="28"/>
          <w:szCs w:val="20"/>
        </w:rPr>
        <w:t>30.8</w:t>
      </w:r>
      <w:r w:rsidRPr="00AE0D77">
        <w:rPr>
          <w:rFonts w:eastAsia="標楷體"/>
          <w:kern w:val="0"/>
          <w:sz w:val="28"/>
          <w:szCs w:val="20"/>
        </w:rPr>
        <w:t>億美元，增加</w:t>
      </w:r>
      <w:r w:rsidRPr="00AE0D77">
        <w:rPr>
          <w:rFonts w:eastAsia="標楷體"/>
          <w:kern w:val="0"/>
          <w:sz w:val="28"/>
          <w:szCs w:val="20"/>
        </w:rPr>
        <w:t>9.1%</w:t>
      </w:r>
      <w:r w:rsidRPr="00AE0D77">
        <w:rPr>
          <w:rFonts w:eastAsia="標楷體"/>
          <w:kern w:val="0"/>
          <w:sz w:val="28"/>
          <w:szCs w:val="20"/>
        </w:rPr>
        <w:t>，已連續</w:t>
      </w:r>
      <w:r w:rsidRPr="00AE0D77">
        <w:rPr>
          <w:rFonts w:eastAsia="標楷體"/>
          <w:kern w:val="0"/>
          <w:sz w:val="28"/>
          <w:szCs w:val="20"/>
        </w:rPr>
        <w:t>10</w:t>
      </w:r>
      <w:r w:rsidRPr="00AE0D77">
        <w:rPr>
          <w:rFonts w:eastAsia="標楷體"/>
          <w:kern w:val="0"/>
          <w:sz w:val="28"/>
          <w:szCs w:val="20"/>
        </w:rPr>
        <w:t>個月正成長。累計</w:t>
      </w:r>
      <w:r w:rsidRPr="00AE0D77">
        <w:rPr>
          <w:rFonts w:eastAsia="標楷體"/>
          <w:kern w:val="0"/>
          <w:sz w:val="28"/>
          <w:szCs w:val="20"/>
        </w:rPr>
        <w:t>1</w:t>
      </w:r>
      <w:r w:rsidRPr="00AE0D77">
        <w:rPr>
          <w:rFonts w:eastAsia="標楷體"/>
          <w:kern w:val="0"/>
          <w:sz w:val="28"/>
          <w:szCs w:val="20"/>
        </w:rPr>
        <w:t>至</w:t>
      </w:r>
      <w:r w:rsidRPr="00AE0D77">
        <w:rPr>
          <w:rFonts w:eastAsia="標楷體"/>
          <w:kern w:val="0"/>
          <w:sz w:val="28"/>
          <w:szCs w:val="20"/>
        </w:rPr>
        <w:t>5</w:t>
      </w:r>
      <w:r w:rsidRPr="00AE0D77">
        <w:rPr>
          <w:rFonts w:eastAsia="標楷體"/>
          <w:kern w:val="0"/>
          <w:sz w:val="28"/>
          <w:szCs w:val="20"/>
        </w:rPr>
        <w:t>月外銷訂單金額</w:t>
      </w:r>
      <w:r w:rsidRPr="00AE0D77">
        <w:rPr>
          <w:rFonts w:eastAsia="標楷體"/>
          <w:kern w:val="0"/>
          <w:sz w:val="28"/>
          <w:szCs w:val="20"/>
        </w:rPr>
        <w:t>1,832.7</w:t>
      </w:r>
      <w:r w:rsidRPr="00AE0D77">
        <w:rPr>
          <w:rFonts w:eastAsia="標楷體"/>
          <w:kern w:val="0"/>
          <w:sz w:val="28"/>
          <w:szCs w:val="20"/>
        </w:rPr>
        <w:t>億美元，為歷年同期新高，較上年同期增加</w:t>
      </w:r>
      <w:r w:rsidRPr="00AE0D77">
        <w:rPr>
          <w:rFonts w:eastAsia="標楷體"/>
          <w:kern w:val="0"/>
          <w:sz w:val="28"/>
          <w:szCs w:val="20"/>
        </w:rPr>
        <w:t>179.0</w:t>
      </w:r>
      <w:r w:rsidRPr="00AE0D77">
        <w:rPr>
          <w:rFonts w:eastAsia="標楷體"/>
          <w:kern w:val="0"/>
          <w:sz w:val="28"/>
          <w:szCs w:val="20"/>
        </w:rPr>
        <w:t>億美元，增加</w:t>
      </w:r>
      <w:r w:rsidRPr="00AE0D77">
        <w:rPr>
          <w:rFonts w:eastAsia="標楷體"/>
          <w:kern w:val="0"/>
          <w:sz w:val="28"/>
          <w:szCs w:val="20"/>
        </w:rPr>
        <w:t>10.8%</w:t>
      </w:r>
      <w:r w:rsidR="00EE2456" w:rsidRPr="00AE0D77">
        <w:rPr>
          <w:rFonts w:eastAsia="標楷體"/>
          <w:kern w:val="0"/>
          <w:sz w:val="28"/>
          <w:szCs w:val="20"/>
        </w:rPr>
        <w:t>。</w:t>
      </w:r>
    </w:p>
    <w:p w:rsidR="00F67965" w:rsidRPr="00AE0D77" w:rsidRDefault="00F67965" w:rsidP="00F67965">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E612D0" w:rsidRPr="00AE0D77" w:rsidTr="00E42574">
        <w:trPr>
          <w:trHeight w:val="370"/>
          <w:jc w:val="center"/>
        </w:trPr>
        <w:tc>
          <w:tcPr>
            <w:tcW w:w="1760" w:type="dxa"/>
            <w:tcBorders>
              <w:top w:val="single" w:sz="4" w:space="0" w:color="auto"/>
              <w:left w:val="nil"/>
              <w:bottom w:val="single" w:sz="4" w:space="0" w:color="auto"/>
              <w:right w:val="single" w:sz="4" w:space="0" w:color="auto"/>
            </w:tcBorders>
            <w:hideMark/>
          </w:tcPr>
          <w:p w:rsidR="00E42574" w:rsidRPr="00AE0D77" w:rsidRDefault="00E42574">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E42574" w:rsidRPr="00AE0D77" w:rsidRDefault="00E42574">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E42574" w:rsidRPr="00AE0D77" w:rsidRDefault="00E42574">
            <w:pPr>
              <w:spacing w:line="400" w:lineRule="exact"/>
              <w:jc w:val="center"/>
              <w:rPr>
                <w:rFonts w:eastAsia="標楷體"/>
              </w:rPr>
            </w:pPr>
            <w:r w:rsidRPr="00AE0D77">
              <w:rPr>
                <w:rFonts w:eastAsia="標楷體"/>
              </w:rPr>
              <w:t>年增率</w:t>
            </w:r>
            <w:r w:rsidRPr="00AE0D77">
              <w:rPr>
                <w:rFonts w:eastAsia="標楷體"/>
              </w:rPr>
              <w:t>(%)</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b/>
                <w:bCs/>
              </w:rPr>
              <w:t xml:space="preserve"> 101</w:t>
            </w:r>
            <w:r w:rsidRPr="00AE0D77">
              <w:rPr>
                <w:rFonts w:eastAsia="標楷體"/>
                <w:b/>
                <w:bCs/>
              </w:rPr>
              <w:t>年</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b/>
                <w:bCs/>
                <w:noProof/>
              </w:rPr>
            </w:pPr>
            <w:r w:rsidRPr="00AE0D77">
              <w:rPr>
                <w:rFonts w:eastAsia="標楷體"/>
                <w:b/>
                <w:bCs/>
                <w:noProof/>
              </w:rPr>
              <w:t>4,410.0</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b/>
                <w:bCs/>
                <w:noProof/>
              </w:rPr>
            </w:pPr>
            <w:r w:rsidRPr="00AE0D77">
              <w:rPr>
                <w:rFonts w:eastAsia="標楷體"/>
                <w:b/>
                <w:bCs/>
                <w:noProof/>
              </w:rPr>
              <w:t>1.1</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b/>
                <w:noProof/>
              </w:rPr>
            </w:pPr>
            <w:r w:rsidRPr="00AE0D77">
              <w:rPr>
                <w:rFonts w:eastAsia="標楷體"/>
                <w:b/>
                <w:noProof/>
              </w:rPr>
              <w:t>0.4</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b/>
              </w:rPr>
            </w:pPr>
            <w:r w:rsidRPr="00AE0D77">
              <w:rPr>
                <w:rFonts w:eastAsia="標楷體"/>
                <w:b/>
              </w:rPr>
              <w:t>6.7</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b/>
              </w:rPr>
            </w:pPr>
            <w:r w:rsidRPr="00AE0D77">
              <w:rPr>
                <w:rFonts w:eastAsia="標楷體"/>
                <w:b/>
              </w:rPr>
              <w:t>-4.4</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b/>
              </w:rPr>
            </w:pPr>
            <w:r w:rsidRPr="00AE0D77">
              <w:rPr>
                <w:rFonts w:eastAsia="標楷體"/>
                <w:b/>
              </w:rPr>
              <w:t xml:space="preserve"> 105</w:t>
            </w:r>
            <w:r w:rsidRPr="00AE0D77">
              <w:rPr>
                <w:rFonts w:eastAsia="標楷體"/>
                <w:b/>
              </w:rPr>
              <w:t>年</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b/>
              </w:rPr>
            </w:pPr>
            <w:r w:rsidRPr="00AE0D77">
              <w:rPr>
                <w:rFonts w:eastAsia="標楷體"/>
                <w:b/>
              </w:rPr>
              <w:t>4,445.4</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79" w:right="910"/>
              <w:jc w:val="right"/>
              <w:rPr>
                <w:rFonts w:eastAsia="標楷體"/>
                <w:b/>
              </w:rPr>
            </w:pPr>
            <w:r w:rsidRPr="00AE0D77">
              <w:rPr>
                <w:rFonts w:eastAsia="標楷體"/>
                <w:b/>
              </w:rPr>
              <w:t>-1.6</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rPr>
              <w:t xml:space="preserve">     5</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337.3</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rPr>
            </w:pPr>
            <w:r w:rsidRPr="00AE0D77">
              <w:rPr>
                <w:rFonts w:eastAsia="標楷體"/>
              </w:rPr>
              <w:t>-5.8</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rPr>
              <w:t xml:space="preserve">     6</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357.0</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rPr>
            </w:pPr>
            <w:r w:rsidRPr="00AE0D77">
              <w:rPr>
                <w:rFonts w:eastAsia="標楷體"/>
              </w:rPr>
              <w:t>-2.4</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rPr>
              <w:t xml:space="preserve">     7</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350.3</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rPr>
            </w:pPr>
            <w:r w:rsidRPr="00AE0D77">
              <w:rPr>
                <w:rFonts w:eastAsia="標楷體"/>
              </w:rPr>
              <w:t>-3.4</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rPr>
              <w:t xml:space="preserve">     8</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379.3</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rPr>
            </w:pPr>
            <w:r w:rsidRPr="00AE0D77">
              <w:rPr>
                <w:rFonts w:eastAsia="標楷體"/>
              </w:rPr>
              <w:t>8.3</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rPr>
              <w:t xml:space="preserve">     9</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429.6</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rPr>
            </w:pPr>
            <w:r w:rsidRPr="00AE0D77">
              <w:rPr>
                <w:rFonts w:eastAsia="標楷體"/>
              </w:rPr>
              <w:t>3.9</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rPr>
              <w:t xml:space="preserve">     10</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426.8</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rPr>
            </w:pPr>
            <w:r w:rsidRPr="00AE0D77">
              <w:rPr>
                <w:rFonts w:eastAsia="標楷體"/>
              </w:rPr>
              <w:t>0.3</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rPr>
              <w:t xml:space="preserve">     11</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436.2</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97" w:right="953"/>
              <w:jc w:val="right"/>
              <w:rPr>
                <w:rFonts w:eastAsia="標楷體"/>
              </w:rPr>
            </w:pPr>
            <w:r w:rsidRPr="00AE0D77">
              <w:rPr>
                <w:rFonts w:eastAsia="標楷體"/>
              </w:rPr>
              <w:t>7.0</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rPr>
                <w:rFonts w:eastAsia="標楷體"/>
              </w:rPr>
            </w:pPr>
            <w:r w:rsidRPr="00AE0D77">
              <w:rPr>
                <w:rFonts w:eastAsia="標楷體"/>
              </w:rPr>
              <w:t xml:space="preserve">     12</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412.4</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6.3</w:t>
            </w:r>
          </w:p>
        </w:tc>
      </w:tr>
      <w:tr w:rsidR="00E612D0" w:rsidRPr="00AE0D77" w:rsidTr="00E42574">
        <w:trPr>
          <w:trHeight w:val="341"/>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ind w:firstLineChars="50" w:firstLine="120"/>
              <w:rPr>
                <w:rFonts w:eastAsia="標楷體"/>
              </w:rPr>
            </w:pPr>
            <w:r w:rsidRPr="00AE0D77">
              <w:rPr>
                <w:rFonts w:eastAsia="標楷體"/>
                <w:b/>
              </w:rPr>
              <w:t>106</w:t>
            </w:r>
            <w:r w:rsidRPr="00AE0D77">
              <w:rPr>
                <w:rFonts w:eastAsia="標楷體"/>
                <w:b/>
              </w:rPr>
              <w:t>年</w:t>
            </w:r>
            <w:r w:rsidRPr="00AE0D77">
              <w:rPr>
                <w:rFonts w:eastAsia="標楷體"/>
                <w:b/>
              </w:rPr>
              <w:t>1~5</w:t>
            </w:r>
            <w:r w:rsidRPr="00AE0D77">
              <w:rPr>
                <w:rFonts w:eastAsia="標楷體"/>
                <w:b/>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b/>
              </w:rPr>
            </w:pPr>
            <w:r w:rsidRPr="00AE0D77">
              <w:rPr>
                <w:rFonts w:eastAsia="標楷體"/>
                <w:b/>
              </w:rPr>
              <w:t>1,832.7</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79" w:right="910"/>
              <w:jc w:val="right"/>
              <w:rPr>
                <w:rFonts w:eastAsia="標楷體"/>
                <w:b/>
              </w:rPr>
            </w:pPr>
            <w:r w:rsidRPr="00AE0D77">
              <w:rPr>
                <w:rFonts w:eastAsia="標楷體"/>
                <w:b/>
              </w:rPr>
              <w:t>10.8</w:t>
            </w:r>
          </w:p>
        </w:tc>
      </w:tr>
      <w:tr w:rsidR="00E612D0" w:rsidRPr="00AE0D77" w:rsidTr="00E42574">
        <w:trPr>
          <w:trHeight w:val="356"/>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ind w:firstLineChars="300" w:firstLine="720"/>
              <w:rPr>
                <w:rFonts w:eastAsia="標楷體"/>
              </w:rPr>
            </w:pPr>
            <w:r w:rsidRPr="00AE0D77">
              <w:rPr>
                <w:rFonts w:eastAsia="標楷體"/>
              </w:rPr>
              <w:t>1</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359.7</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5.2</w:t>
            </w:r>
          </w:p>
        </w:tc>
      </w:tr>
      <w:tr w:rsidR="00E612D0" w:rsidRPr="00AE0D77" w:rsidTr="00E42574">
        <w:trPr>
          <w:trHeight w:val="356"/>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ind w:firstLineChars="300" w:firstLine="720"/>
              <w:rPr>
                <w:rFonts w:eastAsia="標楷體"/>
              </w:rPr>
            </w:pPr>
            <w:r w:rsidRPr="00AE0D77">
              <w:rPr>
                <w:rFonts w:eastAsia="標楷體"/>
              </w:rPr>
              <w:t>2</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337.5</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22.0</w:t>
            </w:r>
          </w:p>
        </w:tc>
      </w:tr>
      <w:tr w:rsidR="00E612D0" w:rsidRPr="00AE0D77" w:rsidTr="00E42574">
        <w:trPr>
          <w:trHeight w:val="356"/>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ind w:firstLineChars="300" w:firstLine="720"/>
              <w:rPr>
                <w:rFonts w:eastAsia="標楷體"/>
              </w:rPr>
            </w:pPr>
            <w:r w:rsidRPr="00AE0D77">
              <w:rPr>
                <w:rFonts w:eastAsia="標楷體"/>
              </w:rPr>
              <w:t>3</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411.2</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12.3</w:t>
            </w:r>
          </w:p>
        </w:tc>
      </w:tr>
      <w:tr w:rsidR="00E612D0" w:rsidRPr="00AE0D77" w:rsidTr="00E42574">
        <w:trPr>
          <w:trHeight w:val="356"/>
          <w:jc w:val="center"/>
        </w:trPr>
        <w:tc>
          <w:tcPr>
            <w:tcW w:w="1760" w:type="dxa"/>
            <w:tcBorders>
              <w:top w:val="nil"/>
              <w:left w:val="nil"/>
              <w:bottom w:val="nil"/>
              <w:right w:val="single" w:sz="4" w:space="0" w:color="auto"/>
            </w:tcBorders>
            <w:hideMark/>
          </w:tcPr>
          <w:p w:rsidR="00E42574" w:rsidRPr="00AE0D77" w:rsidRDefault="00E42574">
            <w:pPr>
              <w:snapToGrid w:val="0"/>
              <w:spacing w:line="360" w:lineRule="exact"/>
              <w:ind w:firstLineChars="300" w:firstLine="720"/>
              <w:rPr>
                <w:rFonts w:eastAsia="標楷體"/>
              </w:rPr>
            </w:pPr>
            <w:r w:rsidRPr="00AE0D77">
              <w:rPr>
                <w:rFonts w:eastAsia="標楷體"/>
              </w:rPr>
              <w:t>4</w:t>
            </w:r>
            <w:r w:rsidRPr="00AE0D77">
              <w:rPr>
                <w:rFonts w:eastAsia="標楷體"/>
              </w:rPr>
              <w:t>月</w:t>
            </w:r>
          </w:p>
        </w:tc>
        <w:tc>
          <w:tcPr>
            <w:tcW w:w="2909" w:type="dxa"/>
            <w:tcBorders>
              <w:top w:val="nil"/>
              <w:left w:val="single" w:sz="4" w:space="0" w:color="auto"/>
              <w:bottom w:val="nil"/>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356.1</w:t>
            </w:r>
          </w:p>
        </w:tc>
        <w:tc>
          <w:tcPr>
            <w:tcW w:w="2909" w:type="dxa"/>
            <w:tcBorders>
              <w:top w:val="nil"/>
              <w:left w:val="single" w:sz="4" w:space="0" w:color="auto"/>
              <w:bottom w:val="nil"/>
              <w:right w:val="nil"/>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7.4</w:t>
            </w:r>
          </w:p>
        </w:tc>
      </w:tr>
      <w:tr w:rsidR="00E612D0" w:rsidRPr="00AE0D77" w:rsidTr="00E42574">
        <w:trPr>
          <w:trHeight w:val="356"/>
          <w:jc w:val="center"/>
        </w:trPr>
        <w:tc>
          <w:tcPr>
            <w:tcW w:w="1760" w:type="dxa"/>
            <w:tcBorders>
              <w:top w:val="nil"/>
              <w:left w:val="nil"/>
              <w:bottom w:val="single" w:sz="4" w:space="0" w:color="auto"/>
              <w:right w:val="single" w:sz="4" w:space="0" w:color="auto"/>
            </w:tcBorders>
            <w:hideMark/>
          </w:tcPr>
          <w:p w:rsidR="00E42574" w:rsidRPr="00AE0D77" w:rsidRDefault="00E42574">
            <w:pPr>
              <w:snapToGrid w:val="0"/>
              <w:spacing w:line="360" w:lineRule="exact"/>
              <w:ind w:firstLineChars="300" w:firstLine="720"/>
              <w:rPr>
                <w:rFonts w:eastAsia="標楷體"/>
              </w:rPr>
            </w:pPr>
            <w:r w:rsidRPr="00AE0D77">
              <w:rPr>
                <w:rFonts w:eastAsia="標楷體"/>
              </w:rPr>
              <w:t>5</w:t>
            </w:r>
            <w:r w:rsidRPr="00AE0D77">
              <w:rPr>
                <w:rFonts w:eastAsia="標楷體"/>
              </w:rPr>
              <w:t>月</w:t>
            </w:r>
          </w:p>
        </w:tc>
        <w:tc>
          <w:tcPr>
            <w:tcW w:w="2909" w:type="dxa"/>
            <w:tcBorders>
              <w:top w:val="nil"/>
              <w:left w:val="single" w:sz="4" w:space="0" w:color="auto"/>
              <w:bottom w:val="single" w:sz="4" w:space="0" w:color="auto"/>
              <w:right w:val="single" w:sz="4" w:space="0" w:color="auto"/>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368.1</w:t>
            </w:r>
          </w:p>
        </w:tc>
        <w:tc>
          <w:tcPr>
            <w:tcW w:w="2909" w:type="dxa"/>
            <w:tcBorders>
              <w:top w:val="nil"/>
              <w:left w:val="single" w:sz="4" w:space="0" w:color="auto"/>
              <w:bottom w:val="single" w:sz="4" w:space="0" w:color="auto"/>
              <w:right w:val="nil"/>
            </w:tcBorders>
            <w:hideMark/>
          </w:tcPr>
          <w:p w:rsidR="00E42574" w:rsidRPr="00AE0D77" w:rsidRDefault="00E42574">
            <w:pPr>
              <w:snapToGrid w:val="0"/>
              <w:spacing w:line="360" w:lineRule="exact"/>
              <w:ind w:rightChars="379" w:right="910"/>
              <w:jc w:val="right"/>
              <w:rPr>
                <w:rFonts w:eastAsia="標楷體"/>
              </w:rPr>
            </w:pPr>
            <w:r w:rsidRPr="00AE0D77">
              <w:rPr>
                <w:rFonts w:eastAsia="標楷體"/>
              </w:rPr>
              <w:t>9.1</w:t>
            </w:r>
          </w:p>
        </w:tc>
      </w:tr>
    </w:tbl>
    <w:p w:rsidR="00F67965" w:rsidRPr="00AE0D77" w:rsidRDefault="00F67965" w:rsidP="00F67965">
      <w:pPr>
        <w:widowControl/>
        <w:snapToGrid w:val="0"/>
        <w:spacing w:line="240" w:lineRule="atLeast"/>
        <w:ind w:leftChars="236" w:left="566"/>
        <w:jc w:val="both"/>
        <w:rPr>
          <w:rFonts w:eastAsia="標楷體"/>
          <w:kern w:val="0"/>
          <w:sz w:val="22"/>
          <w:szCs w:val="22"/>
        </w:rPr>
      </w:pPr>
      <w:r w:rsidRPr="00AE0D77">
        <w:rPr>
          <w:rFonts w:eastAsia="標楷體"/>
          <w:kern w:val="0"/>
          <w:sz w:val="22"/>
          <w:szCs w:val="22"/>
        </w:rPr>
        <w:t>資料來源：經濟部統計處。</w:t>
      </w:r>
    </w:p>
    <w:p w:rsidR="00F67965" w:rsidRPr="00AE0D77"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AE0D77">
        <w:rPr>
          <w:rFonts w:eastAsia="標楷體"/>
          <w:b/>
          <w:bCs/>
          <w:kern w:val="0"/>
          <w:sz w:val="28"/>
          <w:szCs w:val="20"/>
        </w:rPr>
        <w:t>２、</w:t>
      </w:r>
      <w:r w:rsidR="00E42574" w:rsidRPr="00AE0D77">
        <w:rPr>
          <w:rFonts w:eastAsia="標楷體"/>
          <w:b/>
          <w:spacing w:val="-4"/>
          <w:kern w:val="0"/>
          <w:sz w:val="28"/>
          <w:szCs w:val="20"/>
        </w:rPr>
        <w:t>106</w:t>
      </w:r>
      <w:r w:rsidR="00E42574" w:rsidRPr="00AE0D77">
        <w:rPr>
          <w:rFonts w:eastAsia="標楷體"/>
          <w:b/>
          <w:spacing w:val="-4"/>
          <w:kern w:val="0"/>
          <w:sz w:val="28"/>
          <w:szCs w:val="20"/>
        </w:rPr>
        <w:t>年</w:t>
      </w:r>
      <w:r w:rsidR="00E42574" w:rsidRPr="00AE0D77">
        <w:rPr>
          <w:rFonts w:eastAsia="標楷體"/>
          <w:b/>
          <w:spacing w:val="-4"/>
          <w:kern w:val="0"/>
          <w:sz w:val="28"/>
          <w:szCs w:val="20"/>
        </w:rPr>
        <w:t>5</w:t>
      </w:r>
      <w:r w:rsidR="00E42574" w:rsidRPr="00AE0D77">
        <w:rPr>
          <w:rFonts w:eastAsia="標楷體"/>
          <w:b/>
          <w:spacing w:val="-4"/>
          <w:kern w:val="0"/>
          <w:sz w:val="28"/>
          <w:szCs w:val="20"/>
        </w:rPr>
        <w:t>月資訊通信、電子產品為我國前二大接單貨品，增幅最大者為光學器材</w:t>
      </w:r>
    </w:p>
    <w:p w:rsidR="00E42574" w:rsidRPr="00AE0D77" w:rsidRDefault="00E42574" w:rsidP="00E42574">
      <w:pPr>
        <w:numPr>
          <w:ilvl w:val="0"/>
          <w:numId w:val="4"/>
        </w:numPr>
        <w:snapToGrid w:val="0"/>
        <w:spacing w:line="300" w:lineRule="auto"/>
        <w:ind w:right="-142"/>
        <w:jc w:val="both"/>
        <w:rPr>
          <w:rFonts w:eastAsia="標楷體"/>
          <w:spacing w:val="-4"/>
          <w:sz w:val="28"/>
          <w:szCs w:val="22"/>
        </w:rPr>
      </w:pPr>
      <w:r w:rsidRPr="00AE0D77">
        <w:rPr>
          <w:rFonts w:eastAsia="標楷體"/>
          <w:spacing w:val="-4"/>
          <w:sz w:val="28"/>
          <w:szCs w:val="22"/>
        </w:rPr>
        <w:t>106</w:t>
      </w:r>
      <w:r w:rsidRPr="00AE0D77">
        <w:rPr>
          <w:rFonts w:eastAsia="標楷體"/>
          <w:spacing w:val="-4"/>
          <w:sz w:val="28"/>
          <w:szCs w:val="22"/>
        </w:rPr>
        <w:t>年</w:t>
      </w:r>
      <w:r w:rsidRPr="00AE0D77">
        <w:rPr>
          <w:rFonts w:eastAsia="標楷體"/>
          <w:spacing w:val="-4"/>
          <w:sz w:val="28"/>
          <w:szCs w:val="22"/>
        </w:rPr>
        <w:t>5</w:t>
      </w:r>
      <w:r w:rsidRPr="00AE0D77">
        <w:rPr>
          <w:rFonts w:eastAsia="標楷體"/>
          <w:spacing w:val="-4"/>
          <w:sz w:val="28"/>
          <w:szCs w:val="22"/>
        </w:rPr>
        <w:t>月主要訂單貨品中以</w:t>
      </w:r>
      <w:r w:rsidRPr="00AE0D77">
        <w:rPr>
          <w:rFonts w:eastAsia="標楷體"/>
          <w:bCs/>
          <w:spacing w:val="-4"/>
          <w:sz w:val="28"/>
          <w:szCs w:val="22"/>
        </w:rPr>
        <w:t>資訊通信、電子產品</w:t>
      </w:r>
      <w:r w:rsidRPr="00AE0D77">
        <w:rPr>
          <w:rFonts w:eastAsia="標楷體"/>
          <w:spacing w:val="-4"/>
          <w:sz w:val="28"/>
          <w:szCs w:val="22"/>
        </w:rPr>
        <w:t>為主，分別占訂單總額的</w:t>
      </w:r>
      <w:r w:rsidRPr="00AE0D77">
        <w:rPr>
          <w:rFonts w:eastAsia="標楷體"/>
          <w:spacing w:val="-4"/>
          <w:sz w:val="28"/>
          <w:szCs w:val="22"/>
        </w:rPr>
        <w:t>27.5%</w:t>
      </w:r>
      <w:r w:rsidRPr="00AE0D77">
        <w:rPr>
          <w:rFonts w:eastAsia="標楷體"/>
          <w:spacing w:val="-4"/>
          <w:sz w:val="28"/>
          <w:szCs w:val="22"/>
        </w:rPr>
        <w:t>及</w:t>
      </w:r>
      <w:r w:rsidRPr="00AE0D77">
        <w:rPr>
          <w:rFonts w:eastAsia="標楷體"/>
          <w:spacing w:val="-4"/>
          <w:sz w:val="28"/>
          <w:szCs w:val="22"/>
        </w:rPr>
        <w:t>25.2%</w:t>
      </w:r>
      <w:r w:rsidRPr="00AE0D77">
        <w:rPr>
          <w:rFonts w:eastAsia="標楷體"/>
          <w:spacing w:val="-4"/>
          <w:sz w:val="28"/>
          <w:szCs w:val="22"/>
        </w:rPr>
        <w:t>，較上年同月分別增加</w:t>
      </w:r>
      <w:r w:rsidRPr="00AE0D77">
        <w:rPr>
          <w:rFonts w:eastAsia="標楷體"/>
          <w:spacing w:val="-4"/>
          <w:sz w:val="28"/>
          <w:szCs w:val="22"/>
        </w:rPr>
        <w:t>8.2%</w:t>
      </w:r>
      <w:r w:rsidRPr="00AE0D77">
        <w:rPr>
          <w:rFonts w:eastAsia="標楷體"/>
          <w:spacing w:val="-4"/>
          <w:sz w:val="28"/>
          <w:szCs w:val="22"/>
        </w:rPr>
        <w:t>及</w:t>
      </w:r>
      <w:r w:rsidRPr="00AE0D77">
        <w:rPr>
          <w:rFonts w:eastAsia="標楷體"/>
          <w:spacing w:val="-4"/>
          <w:sz w:val="28"/>
          <w:szCs w:val="22"/>
        </w:rPr>
        <w:t>4.5%</w:t>
      </w:r>
      <w:r w:rsidRPr="00AE0D77">
        <w:rPr>
          <w:rFonts w:eastAsia="標楷體"/>
          <w:spacing w:val="-4"/>
          <w:sz w:val="28"/>
          <w:szCs w:val="22"/>
        </w:rPr>
        <w:t>。</w:t>
      </w:r>
    </w:p>
    <w:p w:rsidR="00AF461B" w:rsidRPr="00AE0D77" w:rsidRDefault="00E42574" w:rsidP="00E42574">
      <w:pPr>
        <w:numPr>
          <w:ilvl w:val="0"/>
          <w:numId w:val="4"/>
        </w:numPr>
        <w:snapToGrid w:val="0"/>
        <w:spacing w:line="300" w:lineRule="auto"/>
        <w:ind w:right="-142"/>
        <w:jc w:val="both"/>
        <w:rPr>
          <w:rFonts w:eastAsia="標楷體"/>
          <w:spacing w:val="-4"/>
          <w:sz w:val="28"/>
          <w:szCs w:val="22"/>
        </w:rPr>
      </w:pPr>
      <w:r w:rsidRPr="00AE0D77">
        <w:rPr>
          <w:rFonts w:eastAsia="標楷體"/>
          <w:spacing w:val="-4"/>
          <w:sz w:val="28"/>
          <w:szCs w:val="22"/>
        </w:rPr>
        <w:t>106</w:t>
      </w:r>
      <w:r w:rsidRPr="00AE0D77">
        <w:rPr>
          <w:rFonts w:eastAsia="標楷體"/>
          <w:spacing w:val="-4"/>
          <w:sz w:val="28"/>
          <w:szCs w:val="22"/>
        </w:rPr>
        <w:t>年</w:t>
      </w:r>
      <w:r w:rsidRPr="00AE0D77">
        <w:rPr>
          <w:rFonts w:eastAsia="標楷體"/>
          <w:spacing w:val="-4"/>
          <w:sz w:val="28"/>
          <w:szCs w:val="22"/>
        </w:rPr>
        <w:t>5</w:t>
      </w:r>
      <w:r w:rsidRPr="00AE0D77">
        <w:rPr>
          <w:rFonts w:eastAsia="標楷體"/>
          <w:spacing w:val="-4"/>
          <w:sz w:val="28"/>
          <w:szCs w:val="22"/>
        </w:rPr>
        <w:t>月各主要訂單貨品均較上年同月增加，尤以光學器材增加</w:t>
      </w:r>
      <w:r w:rsidRPr="00AE0D77">
        <w:rPr>
          <w:rFonts w:eastAsia="標楷體"/>
          <w:spacing w:val="-4"/>
          <w:sz w:val="28"/>
          <w:szCs w:val="22"/>
        </w:rPr>
        <w:t>25.1%</w:t>
      </w:r>
      <w:r w:rsidRPr="00AE0D77">
        <w:rPr>
          <w:rFonts w:eastAsia="標楷體"/>
          <w:spacing w:val="-4"/>
          <w:sz w:val="28"/>
          <w:szCs w:val="22"/>
        </w:rPr>
        <w:t>最多，主因受液晶電視面板需求增加所致</w:t>
      </w:r>
      <w:r w:rsidR="00EE2456" w:rsidRPr="00AE0D77">
        <w:rPr>
          <w:rFonts w:eastAsia="標楷體"/>
          <w:spacing w:val="-4"/>
          <w:sz w:val="28"/>
          <w:szCs w:val="22"/>
        </w:rPr>
        <w:t>。</w:t>
      </w:r>
    </w:p>
    <w:p w:rsidR="00F67965" w:rsidRPr="00AE0D77" w:rsidRDefault="003A6FEC" w:rsidP="00F67965">
      <w:pPr>
        <w:spacing w:beforeLines="50" w:before="180" w:afterLines="50" w:after="180"/>
        <w:jc w:val="center"/>
        <w:rPr>
          <w:rFonts w:eastAsia="標楷體"/>
          <w:sz w:val="28"/>
        </w:rPr>
      </w:pPr>
      <w:r w:rsidRPr="00AE0D77">
        <w:rPr>
          <w:rFonts w:eastAsia="標楷體"/>
          <w:b/>
          <w:bCs/>
          <w:sz w:val="28"/>
        </w:rPr>
        <w:t>表</w:t>
      </w:r>
      <w:r w:rsidRPr="00AE0D77">
        <w:rPr>
          <w:rFonts w:eastAsia="標楷體"/>
          <w:b/>
          <w:bCs/>
          <w:sz w:val="28"/>
        </w:rPr>
        <w:t xml:space="preserve"> 2-5-2  10</w:t>
      </w:r>
      <w:r w:rsidR="00E42574" w:rsidRPr="00AE0D77">
        <w:rPr>
          <w:rFonts w:eastAsia="標楷體"/>
          <w:b/>
          <w:bCs/>
          <w:sz w:val="28"/>
        </w:rPr>
        <w:t>6</w:t>
      </w:r>
      <w:r w:rsidRPr="00AE0D77">
        <w:rPr>
          <w:rFonts w:eastAsia="標楷體"/>
          <w:b/>
          <w:bCs/>
          <w:sz w:val="28"/>
        </w:rPr>
        <w:t>年</w:t>
      </w:r>
      <w:r w:rsidR="00610825" w:rsidRPr="00AE0D77">
        <w:rPr>
          <w:rFonts w:eastAsia="標楷體"/>
          <w:b/>
          <w:bCs/>
          <w:sz w:val="28"/>
        </w:rPr>
        <w:t>5</w:t>
      </w:r>
      <w:r w:rsidRPr="00AE0D77">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E612D0" w:rsidRPr="00AE0D77" w:rsidTr="00E42574">
        <w:trPr>
          <w:jc w:val="center"/>
        </w:trPr>
        <w:tc>
          <w:tcPr>
            <w:tcW w:w="2046" w:type="dxa"/>
            <w:tcBorders>
              <w:top w:val="single" w:sz="4" w:space="0" w:color="auto"/>
              <w:left w:val="nil"/>
              <w:bottom w:val="single" w:sz="4" w:space="0" w:color="auto"/>
              <w:right w:val="single" w:sz="4" w:space="0" w:color="auto"/>
            </w:tcBorders>
            <w:vAlign w:val="center"/>
            <w:hideMark/>
          </w:tcPr>
          <w:p w:rsidR="00E42574" w:rsidRPr="00AE0D77" w:rsidRDefault="00E42574">
            <w:pPr>
              <w:adjustRightInd w:val="0"/>
              <w:snapToGrid w:val="0"/>
              <w:spacing w:line="360" w:lineRule="atLeast"/>
              <w:ind w:left="28" w:right="-40"/>
              <w:jc w:val="center"/>
              <w:rPr>
                <w:rFonts w:eastAsia="標楷體"/>
              </w:rPr>
            </w:pPr>
            <w:r w:rsidRPr="00AE0D77">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E42574" w:rsidRPr="00AE0D77" w:rsidRDefault="00E42574">
            <w:pPr>
              <w:snapToGrid w:val="0"/>
              <w:spacing w:line="360" w:lineRule="atLeast"/>
              <w:ind w:left="28" w:right="-40"/>
              <w:jc w:val="center"/>
              <w:rPr>
                <w:rFonts w:eastAsia="標楷體"/>
              </w:rPr>
            </w:pPr>
            <w:r w:rsidRPr="00AE0D77">
              <w:rPr>
                <w:rFonts w:eastAsia="標楷體"/>
              </w:rPr>
              <w:t>106</w:t>
            </w:r>
            <w:r w:rsidRPr="00AE0D77">
              <w:rPr>
                <w:rFonts w:eastAsia="標楷體"/>
              </w:rPr>
              <w:t>年</w:t>
            </w:r>
            <w:r w:rsidRPr="00AE0D77">
              <w:rPr>
                <w:rFonts w:eastAsia="標楷體"/>
              </w:rPr>
              <w:t>5</w:t>
            </w:r>
            <w:r w:rsidRPr="00AE0D77">
              <w:rPr>
                <w:rFonts w:eastAsia="標楷體"/>
              </w:rPr>
              <w:t>月金額</w:t>
            </w:r>
          </w:p>
          <w:p w:rsidR="00E42574" w:rsidRPr="00AE0D77" w:rsidRDefault="00E42574">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E42574" w:rsidRPr="00AE0D77" w:rsidRDefault="00E42574">
            <w:pPr>
              <w:snapToGrid w:val="0"/>
              <w:spacing w:line="560" w:lineRule="exact"/>
              <w:ind w:left="28" w:right="-40"/>
              <w:jc w:val="center"/>
              <w:rPr>
                <w:rFonts w:eastAsia="標楷體"/>
              </w:rPr>
            </w:pPr>
            <w:r w:rsidRPr="00AE0D77">
              <w:rPr>
                <w:rFonts w:eastAsia="標楷體"/>
              </w:rPr>
              <w:t>比重</w:t>
            </w:r>
            <w:r w:rsidRPr="00AE0D77">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E42574" w:rsidRPr="00AE0D77" w:rsidRDefault="00E42574">
            <w:pPr>
              <w:snapToGrid w:val="0"/>
              <w:spacing w:line="360" w:lineRule="atLeast"/>
              <w:ind w:left="28" w:right="-40"/>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E42574" w:rsidRPr="00AE0D77" w:rsidRDefault="00E42574">
            <w:pPr>
              <w:snapToGrid w:val="0"/>
              <w:spacing w:line="360" w:lineRule="atLeast"/>
              <w:ind w:left="28" w:right="-40"/>
              <w:jc w:val="center"/>
              <w:rPr>
                <w:rFonts w:eastAsia="標楷體"/>
              </w:rPr>
            </w:pPr>
            <w:r w:rsidRPr="00AE0D77">
              <w:rPr>
                <w:rFonts w:eastAsia="標楷體"/>
              </w:rPr>
              <w:t>增減</w:t>
            </w:r>
            <w:r w:rsidRPr="00AE0D77">
              <w:rPr>
                <w:rFonts w:eastAsia="標楷體"/>
              </w:rPr>
              <w:t xml:space="preserve">(%) </w:t>
            </w:r>
          </w:p>
        </w:tc>
      </w:tr>
      <w:tr w:rsidR="00E612D0" w:rsidRPr="00AE0D77" w:rsidTr="00E42574">
        <w:trPr>
          <w:jc w:val="center"/>
        </w:trPr>
        <w:tc>
          <w:tcPr>
            <w:tcW w:w="2046" w:type="dxa"/>
            <w:tcBorders>
              <w:top w:val="nil"/>
              <w:left w:val="nil"/>
              <w:bottom w:val="nil"/>
              <w:right w:val="single" w:sz="4" w:space="0" w:color="auto"/>
            </w:tcBorders>
            <w:vAlign w:val="center"/>
            <w:hideMark/>
          </w:tcPr>
          <w:p w:rsidR="00E42574" w:rsidRPr="00AE0D77" w:rsidRDefault="00E42574">
            <w:pPr>
              <w:snapToGrid w:val="0"/>
              <w:spacing w:line="400" w:lineRule="atLeast"/>
              <w:ind w:left="28" w:right="-40"/>
              <w:jc w:val="both"/>
              <w:rPr>
                <w:rFonts w:eastAsia="標楷體"/>
              </w:rPr>
            </w:pPr>
            <w:r w:rsidRPr="00AE0D77">
              <w:rPr>
                <w:rFonts w:eastAsia="標楷體"/>
              </w:rPr>
              <w:t>資訊通信</w:t>
            </w:r>
          </w:p>
        </w:tc>
        <w:tc>
          <w:tcPr>
            <w:tcW w:w="1930"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101.3</w:t>
            </w:r>
          </w:p>
        </w:tc>
        <w:tc>
          <w:tcPr>
            <w:tcW w:w="1542"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27.5</w:t>
            </w:r>
          </w:p>
        </w:tc>
        <w:tc>
          <w:tcPr>
            <w:tcW w:w="2433" w:type="dxa"/>
            <w:tcBorders>
              <w:top w:val="nil"/>
              <w:left w:val="nil"/>
              <w:bottom w:val="nil"/>
              <w:right w:val="nil"/>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8.2</w:t>
            </w:r>
          </w:p>
        </w:tc>
      </w:tr>
      <w:tr w:rsidR="00E612D0" w:rsidRPr="00AE0D77" w:rsidTr="00E42574">
        <w:trPr>
          <w:jc w:val="center"/>
        </w:trPr>
        <w:tc>
          <w:tcPr>
            <w:tcW w:w="2046" w:type="dxa"/>
            <w:tcBorders>
              <w:top w:val="nil"/>
              <w:left w:val="nil"/>
              <w:bottom w:val="nil"/>
              <w:right w:val="single" w:sz="4" w:space="0" w:color="auto"/>
            </w:tcBorders>
            <w:vAlign w:val="center"/>
            <w:hideMark/>
          </w:tcPr>
          <w:p w:rsidR="00E42574" w:rsidRPr="00AE0D77" w:rsidRDefault="00E42574">
            <w:pPr>
              <w:snapToGrid w:val="0"/>
              <w:spacing w:line="400" w:lineRule="atLeast"/>
              <w:ind w:left="28" w:right="-40"/>
              <w:jc w:val="both"/>
              <w:rPr>
                <w:rFonts w:eastAsia="標楷體"/>
              </w:rPr>
            </w:pPr>
            <w:r w:rsidRPr="00AE0D77">
              <w:rPr>
                <w:rFonts w:eastAsia="標楷體"/>
              </w:rPr>
              <w:t>電子產品</w:t>
            </w:r>
          </w:p>
        </w:tc>
        <w:tc>
          <w:tcPr>
            <w:tcW w:w="1930"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92.9</w:t>
            </w:r>
          </w:p>
        </w:tc>
        <w:tc>
          <w:tcPr>
            <w:tcW w:w="1542"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25.2</w:t>
            </w:r>
          </w:p>
        </w:tc>
        <w:tc>
          <w:tcPr>
            <w:tcW w:w="2433" w:type="dxa"/>
            <w:tcBorders>
              <w:top w:val="nil"/>
              <w:left w:val="nil"/>
              <w:bottom w:val="nil"/>
              <w:right w:val="nil"/>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4.5</w:t>
            </w:r>
          </w:p>
        </w:tc>
      </w:tr>
      <w:tr w:rsidR="00E612D0" w:rsidRPr="00AE0D77" w:rsidTr="00E42574">
        <w:trPr>
          <w:jc w:val="center"/>
        </w:trPr>
        <w:tc>
          <w:tcPr>
            <w:tcW w:w="2046" w:type="dxa"/>
            <w:tcBorders>
              <w:top w:val="nil"/>
              <w:left w:val="nil"/>
              <w:bottom w:val="nil"/>
              <w:right w:val="single" w:sz="4" w:space="0" w:color="auto"/>
            </w:tcBorders>
            <w:vAlign w:val="center"/>
            <w:hideMark/>
          </w:tcPr>
          <w:p w:rsidR="00E42574" w:rsidRPr="00AE0D77" w:rsidRDefault="00E42574">
            <w:pPr>
              <w:snapToGrid w:val="0"/>
              <w:spacing w:line="400" w:lineRule="atLeast"/>
              <w:ind w:right="-40"/>
              <w:rPr>
                <w:rFonts w:eastAsia="標楷體"/>
              </w:rPr>
            </w:pPr>
            <w:r w:rsidRPr="00AE0D77">
              <w:rPr>
                <w:rFonts w:eastAsia="標楷體"/>
              </w:rPr>
              <w:t>光學器材</w:t>
            </w:r>
          </w:p>
        </w:tc>
        <w:tc>
          <w:tcPr>
            <w:tcW w:w="1930"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22.6</w:t>
            </w:r>
          </w:p>
        </w:tc>
        <w:tc>
          <w:tcPr>
            <w:tcW w:w="1542"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6.1</w:t>
            </w:r>
          </w:p>
        </w:tc>
        <w:tc>
          <w:tcPr>
            <w:tcW w:w="2433" w:type="dxa"/>
            <w:tcBorders>
              <w:top w:val="nil"/>
              <w:left w:val="nil"/>
              <w:bottom w:val="nil"/>
              <w:right w:val="nil"/>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25.1</w:t>
            </w:r>
          </w:p>
        </w:tc>
      </w:tr>
      <w:tr w:rsidR="00E612D0" w:rsidRPr="00AE0D77" w:rsidTr="00E42574">
        <w:trPr>
          <w:jc w:val="center"/>
        </w:trPr>
        <w:tc>
          <w:tcPr>
            <w:tcW w:w="2046" w:type="dxa"/>
            <w:tcBorders>
              <w:top w:val="nil"/>
              <w:left w:val="nil"/>
              <w:bottom w:val="nil"/>
              <w:right w:val="single" w:sz="4" w:space="0" w:color="auto"/>
            </w:tcBorders>
            <w:vAlign w:val="center"/>
            <w:hideMark/>
          </w:tcPr>
          <w:p w:rsidR="00E42574" w:rsidRPr="00AE0D77" w:rsidRDefault="00E42574">
            <w:pPr>
              <w:snapToGrid w:val="0"/>
              <w:spacing w:line="400" w:lineRule="atLeast"/>
              <w:ind w:left="28" w:right="-40"/>
              <w:jc w:val="both"/>
              <w:rPr>
                <w:rFonts w:eastAsia="標楷體"/>
              </w:rPr>
            </w:pPr>
            <w:r w:rsidRPr="00AE0D77">
              <w:rPr>
                <w:rFonts w:eastAsia="標楷體"/>
              </w:rPr>
              <w:t>基本金屬</w:t>
            </w:r>
          </w:p>
        </w:tc>
        <w:tc>
          <w:tcPr>
            <w:tcW w:w="1930"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22.2</w:t>
            </w:r>
          </w:p>
        </w:tc>
        <w:tc>
          <w:tcPr>
            <w:tcW w:w="1542"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6.0</w:t>
            </w:r>
          </w:p>
        </w:tc>
        <w:tc>
          <w:tcPr>
            <w:tcW w:w="2433" w:type="dxa"/>
            <w:tcBorders>
              <w:top w:val="nil"/>
              <w:left w:val="nil"/>
              <w:bottom w:val="nil"/>
              <w:right w:val="nil"/>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14.2</w:t>
            </w:r>
          </w:p>
        </w:tc>
      </w:tr>
      <w:tr w:rsidR="00E612D0" w:rsidRPr="00AE0D77" w:rsidTr="00E42574">
        <w:trPr>
          <w:jc w:val="center"/>
        </w:trPr>
        <w:tc>
          <w:tcPr>
            <w:tcW w:w="2046" w:type="dxa"/>
            <w:tcBorders>
              <w:top w:val="nil"/>
              <w:left w:val="nil"/>
              <w:bottom w:val="nil"/>
              <w:right w:val="single" w:sz="4" w:space="0" w:color="auto"/>
            </w:tcBorders>
            <w:vAlign w:val="center"/>
            <w:hideMark/>
          </w:tcPr>
          <w:p w:rsidR="00E42574" w:rsidRPr="00AE0D77" w:rsidRDefault="00E42574">
            <w:pPr>
              <w:snapToGrid w:val="0"/>
              <w:spacing w:line="400" w:lineRule="atLeast"/>
              <w:ind w:left="28" w:right="-40"/>
              <w:jc w:val="both"/>
              <w:rPr>
                <w:rFonts w:eastAsia="標楷體"/>
              </w:rPr>
            </w:pPr>
            <w:r w:rsidRPr="00AE0D77">
              <w:rPr>
                <w:rFonts w:eastAsia="標楷體"/>
              </w:rPr>
              <w:t>塑橡膠製品</w:t>
            </w:r>
          </w:p>
        </w:tc>
        <w:tc>
          <w:tcPr>
            <w:tcW w:w="1930"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19.7</w:t>
            </w:r>
          </w:p>
        </w:tc>
        <w:tc>
          <w:tcPr>
            <w:tcW w:w="1542"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5.4</w:t>
            </w:r>
          </w:p>
        </w:tc>
        <w:tc>
          <w:tcPr>
            <w:tcW w:w="2433" w:type="dxa"/>
            <w:tcBorders>
              <w:top w:val="nil"/>
              <w:left w:val="nil"/>
              <w:bottom w:val="nil"/>
              <w:right w:val="nil"/>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20.3</w:t>
            </w:r>
          </w:p>
        </w:tc>
      </w:tr>
      <w:tr w:rsidR="00E612D0" w:rsidRPr="00AE0D77" w:rsidTr="00E42574">
        <w:trPr>
          <w:jc w:val="center"/>
        </w:trPr>
        <w:tc>
          <w:tcPr>
            <w:tcW w:w="2046" w:type="dxa"/>
            <w:tcBorders>
              <w:top w:val="nil"/>
              <w:left w:val="nil"/>
              <w:bottom w:val="nil"/>
              <w:right w:val="single" w:sz="4" w:space="0" w:color="auto"/>
            </w:tcBorders>
            <w:vAlign w:val="center"/>
            <w:hideMark/>
          </w:tcPr>
          <w:p w:rsidR="00E42574" w:rsidRPr="00AE0D77" w:rsidRDefault="00E42574">
            <w:pPr>
              <w:snapToGrid w:val="0"/>
              <w:spacing w:line="400" w:lineRule="atLeast"/>
              <w:ind w:left="28" w:right="-40"/>
              <w:jc w:val="both"/>
              <w:rPr>
                <w:rFonts w:eastAsia="標楷體"/>
              </w:rPr>
            </w:pPr>
            <w:r w:rsidRPr="00AE0D77">
              <w:rPr>
                <w:rFonts w:eastAsia="標楷體"/>
              </w:rPr>
              <w:t>機械</w:t>
            </w:r>
          </w:p>
        </w:tc>
        <w:tc>
          <w:tcPr>
            <w:tcW w:w="1930"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19.1</w:t>
            </w:r>
          </w:p>
        </w:tc>
        <w:tc>
          <w:tcPr>
            <w:tcW w:w="1542" w:type="dxa"/>
            <w:tcBorders>
              <w:top w:val="nil"/>
              <w:left w:val="single" w:sz="4" w:space="0" w:color="auto"/>
              <w:bottom w:val="nil"/>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5.2</w:t>
            </w:r>
          </w:p>
        </w:tc>
        <w:tc>
          <w:tcPr>
            <w:tcW w:w="2433" w:type="dxa"/>
            <w:tcBorders>
              <w:top w:val="nil"/>
              <w:left w:val="nil"/>
              <w:bottom w:val="nil"/>
              <w:right w:val="nil"/>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12.4</w:t>
            </w:r>
          </w:p>
        </w:tc>
      </w:tr>
      <w:tr w:rsidR="00E612D0" w:rsidRPr="00AE0D77" w:rsidTr="00E42574">
        <w:trPr>
          <w:jc w:val="center"/>
        </w:trPr>
        <w:tc>
          <w:tcPr>
            <w:tcW w:w="2046" w:type="dxa"/>
            <w:tcBorders>
              <w:top w:val="nil"/>
              <w:left w:val="nil"/>
              <w:bottom w:val="single" w:sz="4" w:space="0" w:color="auto"/>
              <w:right w:val="single" w:sz="4" w:space="0" w:color="auto"/>
            </w:tcBorders>
            <w:vAlign w:val="center"/>
            <w:hideMark/>
          </w:tcPr>
          <w:p w:rsidR="00E42574" w:rsidRPr="00AE0D77" w:rsidRDefault="00E42574">
            <w:pPr>
              <w:snapToGrid w:val="0"/>
              <w:spacing w:line="400" w:lineRule="atLeast"/>
              <w:ind w:left="28" w:right="-40"/>
              <w:jc w:val="both"/>
              <w:rPr>
                <w:rFonts w:eastAsia="標楷體"/>
              </w:rPr>
            </w:pPr>
            <w:r w:rsidRPr="00AE0D77">
              <w:rPr>
                <w:rFonts w:eastAsia="標楷體"/>
              </w:rPr>
              <w:t>化學品</w:t>
            </w:r>
          </w:p>
        </w:tc>
        <w:tc>
          <w:tcPr>
            <w:tcW w:w="1930" w:type="dxa"/>
            <w:tcBorders>
              <w:top w:val="nil"/>
              <w:left w:val="single" w:sz="4" w:space="0" w:color="auto"/>
              <w:bottom w:val="single" w:sz="4" w:space="0" w:color="auto"/>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16.0</w:t>
            </w:r>
          </w:p>
        </w:tc>
        <w:tc>
          <w:tcPr>
            <w:tcW w:w="1542" w:type="dxa"/>
            <w:tcBorders>
              <w:top w:val="nil"/>
              <w:left w:val="single" w:sz="4" w:space="0" w:color="auto"/>
              <w:bottom w:val="single" w:sz="4" w:space="0" w:color="auto"/>
              <w:right w:val="single" w:sz="4" w:space="0" w:color="auto"/>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4.3</w:t>
            </w:r>
          </w:p>
        </w:tc>
        <w:tc>
          <w:tcPr>
            <w:tcW w:w="2433" w:type="dxa"/>
            <w:tcBorders>
              <w:top w:val="nil"/>
              <w:left w:val="nil"/>
              <w:bottom w:val="single" w:sz="4" w:space="0" w:color="auto"/>
              <w:right w:val="nil"/>
            </w:tcBorders>
            <w:hideMark/>
          </w:tcPr>
          <w:p w:rsidR="00E42574" w:rsidRPr="00AE0D77" w:rsidRDefault="00E42574">
            <w:pPr>
              <w:snapToGrid w:val="0"/>
              <w:spacing w:line="400" w:lineRule="atLeast"/>
              <w:ind w:left="28" w:right="-40"/>
              <w:jc w:val="center"/>
              <w:rPr>
                <w:rFonts w:eastAsia="標楷體"/>
                <w:szCs w:val="20"/>
              </w:rPr>
            </w:pPr>
            <w:r w:rsidRPr="00AE0D77">
              <w:rPr>
                <w:rFonts w:eastAsia="標楷體"/>
                <w:szCs w:val="20"/>
              </w:rPr>
              <w:t>3.0</w:t>
            </w:r>
          </w:p>
        </w:tc>
      </w:tr>
    </w:tbl>
    <w:p w:rsidR="00F67965" w:rsidRPr="00AE0D77" w:rsidRDefault="00F67965" w:rsidP="00F67965">
      <w:pPr>
        <w:ind w:firstLineChars="146" w:firstLine="321"/>
        <w:rPr>
          <w:rFonts w:eastAsia="標楷體"/>
          <w:spacing w:val="-4"/>
          <w:kern w:val="0"/>
          <w:sz w:val="22"/>
          <w:szCs w:val="22"/>
        </w:rPr>
      </w:pPr>
      <w:r w:rsidRPr="00AE0D77">
        <w:rPr>
          <w:rFonts w:eastAsia="標楷體"/>
          <w:sz w:val="22"/>
          <w:szCs w:val="22"/>
        </w:rPr>
        <w:t>資料來源：經濟部統計處。</w:t>
      </w:r>
    </w:p>
    <w:p w:rsidR="00F67965" w:rsidRPr="00AE0D77"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AE0D77">
        <w:rPr>
          <w:rFonts w:eastAsia="標楷體"/>
          <w:b/>
          <w:bCs/>
          <w:kern w:val="0"/>
          <w:sz w:val="28"/>
          <w:szCs w:val="20"/>
        </w:rPr>
        <w:t>３、</w:t>
      </w:r>
      <w:r w:rsidR="00E27BD4" w:rsidRPr="00AE0D77">
        <w:rPr>
          <w:rFonts w:eastAsia="標楷體"/>
          <w:b/>
          <w:bCs/>
          <w:kern w:val="0"/>
          <w:sz w:val="28"/>
          <w:szCs w:val="20"/>
        </w:rPr>
        <w:t>106</w:t>
      </w:r>
      <w:r w:rsidR="00E27BD4" w:rsidRPr="00AE0D77">
        <w:rPr>
          <w:rFonts w:eastAsia="標楷體"/>
          <w:b/>
          <w:bCs/>
          <w:kern w:val="0"/>
          <w:sz w:val="28"/>
          <w:szCs w:val="20"/>
        </w:rPr>
        <w:t>年</w:t>
      </w:r>
      <w:r w:rsidR="00E27BD4" w:rsidRPr="00AE0D77">
        <w:rPr>
          <w:rFonts w:eastAsia="標楷體"/>
          <w:b/>
          <w:bCs/>
          <w:kern w:val="0"/>
          <w:sz w:val="28"/>
          <w:szCs w:val="20"/>
        </w:rPr>
        <w:t>5</w:t>
      </w:r>
      <w:r w:rsidR="00E27BD4" w:rsidRPr="00AE0D77">
        <w:rPr>
          <w:rFonts w:eastAsia="標楷體"/>
          <w:b/>
          <w:bCs/>
          <w:kern w:val="0"/>
          <w:sz w:val="28"/>
          <w:szCs w:val="20"/>
        </w:rPr>
        <w:t>月外銷訂單海外生產比重為</w:t>
      </w:r>
      <w:r w:rsidR="00E27BD4" w:rsidRPr="00AE0D77">
        <w:rPr>
          <w:rFonts w:eastAsia="標楷體"/>
          <w:b/>
          <w:bCs/>
          <w:kern w:val="0"/>
          <w:sz w:val="28"/>
          <w:szCs w:val="20"/>
        </w:rPr>
        <w:t>50.4%</w:t>
      </w:r>
    </w:p>
    <w:p w:rsidR="00F67965" w:rsidRPr="00AE0D77" w:rsidRDefault="00E27BD4" w:rsidP="00377745">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月外銷訂單海外生產比重</w:t>
      </w:r>
      <w:r w:rsidRPr="00AE0D77">
        <w:rPr>
          <w:rFonts w:eastAsia="標楷體"/>
          <w:kern w:val="0"/>
          <w:sz w:val="28"/>
          <w:szCs w:val="20"/>
        </w:rPr>
        <w:t>50.4%</w:t>
      </w:r>
      <w:r w:rsidRPr="00AE0D77">
        <w:rPr>
          <w:rFonts w:eastAsia="標楷體"/>
          <w:kern w:val="0"/>
          <w:sz w:val="28"/>
          <w:szCs w:val="20"/>
        </w:rPr>
        <w:t>，其中以資訊通信產品</w:t>
      </w:r>
      <w:r w:rsidRPr="00AE0D77">
        <w:rPr>
          <w:rFonts w:eastAsia="標楷體"/>
          <w:kern w:val="0"/>
          <w:sz w:val="28"/>
          <w:szCs w:val="20"/>
        </w:rPr>
        <w:t>93.7%</w:t>
      </w:r>
      <w:r w:rsidRPr="00AE0D77">
        <w:rPr>
          <w:rFonts w:eastAsia="標楷體"/>
          <w:kern w:val="0"/>
          <w:sz w:val="28"/>
          <w:szCs w:val="20"/>
        </w:rPr>
        <w:t>最高，其次為電機產品</w:t>
      </w:r>
      <w:r w:rsidRPr="00AE0D77">
        <w:rPr>
          <w:rFonts w:eastAsia="標楷體"/>
          <w:kern w:val="0"/>
          <w:sz w:val="28"/>
          <w:szCs w:val="20"/>
        </w:rPr>
        <w:t>72.2%</w:t>
      </w:r>
      <w:r w:rsidRPr="00AE0D77">
        <w:rPr>
          <w:rFonts w:eastAsia="標楷體"/>
          <w:kern w:val="0"/>
          <w:sz w:val="28"/>
          <w:szCs w:val="20"/>
        </w:rPr>
        <w:t>。</w:t>
      </w:r>
    </w:p>
    <w:p w:rsidR="00F67965" w:rsidRPr="00AE0D77" w:rsidRDefault="00F67965" w:rsidP="00F67965">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AE0D77">
        <w:rPr>
          <w:rFonts w:eastAsia="標楷體"/>
          <w:b/>
          <w:bCs/>
          <w:kern w:val="0"/>
          <w:sz w:val="28"/>
          <w:szCs w:val="20"/>
        </w:rPr>
        <w:t>４、</w:t>
      </w:r>
      <w:r w:rsidR="00E27BD4" w:rsidRPr="00AE0D77">
        <w:rPr>
          <w:rFonts w:eastAsia="標楷體"/>
          <w:b/>
          <w:bCs/>
          <w:kern w:val="0"/>
          <w:sz w:val="28"/>
          <w:szCs w:val="20"/>
        </w:rPr>
        <w:t>106</w:t>
      </w:r>
      <w:r w:rsidR="00E27BD4" w:rsidRPr="00AE0D77">
        <w:rPr>
          <w:rFonts w:eastAsia="標楷體"/>
          <w:b/>
          <w:bCs/>
          <w:kern w:val="0"/>
          <w:sz w:val="28"/>
          <w:szCs w:val="20"/>
        </w:rPr>
        <w:t>年</w:t>
      </w:r>
      <w:r w:rsidR="00E27BD4" w:rsidRPr="00AE0D77">
        <w:rPr>
          <w:rFonts w:eastAsia="標楷體"/>
          <w:b/>
          <w:bCs/>
          <w:kern w:val="0"/>
          <w:sz w:val="28"/>
          <w:szCs w:val="20"/>
        </w:rPr>
        <w:t>5</w:t>
      </w:r>
      <w:r w:rsidR="00E27BD4" w:rsidRPr="00AE0D77">
        <w:rPr>
          <w:rFonts w:eastAsia="標楷體"/>
          <w:b/>
          <w:bCs/>
          <w:kern w:val="0"/>
          <w:sz w:val="28"/>
          <w:szCs w:val="20"/>
        </w:rPr>
        <w:t>月主要地區接單以日本增加</w:t>
      </w:r>
      <w:r w:rsidR="00E27BD4" w:rsidRPr="00AE0D77">
        <w:rPr>
          <w:rFonts w:eastAsia="標楷體"/>
          <w:b/>
          <w:bCs/>
          <w:kern w:val="0"/>
          <w:sz w:val="28"/>
          <w:szCs w:val="20"/>
        </w:rPr>
        <w:t>19.2%</w:t>
      </w:r>
      <w:r w:rsidR="00E27BD4" w:rsidRPr="00AE0D77">
        <w:rPr>
          <w:rFonts w:eastAsia="標楷體"/>
          <w:b/>
          <w:bCs/>
          <w:kern w:val="0"/>
          <w:sz w:val="28"/>
          <w:szCs w:val="20"/>
        </w:rPr>
        <w:t>最多</w:t>
      </w:r>
    </w:p>
    <w:p w:rsidR="00F67965" w:rsidRPr="00AE0D77" w:rsidRDefault="00E27BD4" w:rsidP="00377745">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Pr="00AE0D77">
        <w:rPr>
          <w:rFonts w:eastAsia="標楷體"/>
          <w:kern w:val="0"/>
          <w:sz w:val="28"/>
          <w:szCs w:val="20"/>
        </w:rPr>
        <w:t>5</w:t>
      </w:r>
      <w:r w:rsidRPr="00AE0D77">
        <w:rPr>
          <w:rFonts w:eastAsia="標楷體"/>
          <w:kern w:val="0"/>
          <w:sz w:val="28"/>
          <w:szCs w:val="20"/>
        </w:rPr>
        <w:t>月我國於各主要地區接單，除東協六國減少</w:t>
      </w:r>
      <w:r w:rsidRPr="00AE0D77">
        <w:rPr>
          <w:rFonts w:eastAsia="標楷體"/>
          <w:kern w:val="0"/>
          <w:sz w:val="28"/>
          <w:szCs w:val="20"/>
        </w:rPr>
        <w:t>8.7%</w:t>
      </w:r>
      <w:r w:rsidR="00C5241D">
        <w:rPr>
          <w:rFonts w:eastAsia="標楷體"/>
          <w:kern w:val="0"/>
          <w:sz w:val="28"/>
          <w:szCs w:val="20"/>
        </w:rPr>
        <w:t>外，</w:t>
      </w:r>
      <w:r w:rsidRPr="00AE0D77">
        <w:rPr>
          <w:rFonts w:eastAsia="標楷體"/>
          <w:kern w:val="0"/>
          <w:sz w:val="28"/>
          <w:szCs w:val="20"/>
        </w:rPr>
        <w:t>均為增加，以美國及中國大陸</w:t>
      </w:r>
      <w:r w:rsidRPr="00AE0D77">
        <w:rPr>
          <w:rFonts w:eastAsia="標楷體"/>
          <w:kern w:val="0"/>
          <w:sz w:val="28"/>
          <w:szCs w:val="20"/>
        </w:rPr>
        <w:t>(</w:t>
      </w:r>
      <w:r w:rsidRPr="00AE0D77">
        <w:rPr>
          <w:rFonts w:eastAsia="標楷體"/>
          <w:kern w:val="0"/>
          <w:sz w:val="28"/>
          <w:szCs w:val="20"/>
        </w:rPr>
        <w:t>含香港</w:t>
      </w:r>
      <w:r w:rsidRPr="00AE0D77">
        <w:rPr>
          <w:rFonts w:eastAsia="標楷體"/>
          <w:kern w:val="0"/>
          <w:sz w:val="28"/>
          <w:szCs w:val="20"/>
        </w:rPr>
        <w:t>)</w:t>
      </w:r>
      <w:r w:rsidRPr="00AE0D77">
        <w:rPr>
          <w:rFonts w:eastAsia="標楷體"/>
          <w:kern w:val="0"/>
          <w:sz w:val="28"/>
          <w:szCs w:val="20"/>
        </w:rPr>
        <w:t>為主要接單地區，占外銷接單總額的</w:t>
      </w:r>
      <w:r w:rsidRPr="00AE0D77">
        <w:rPr>
          <w:rFonts w:eastAsia="標楷體"/>
          <w:kern w:val="0"/>
          <w:sz w:val="28"/>
          <w:szCs w:val="20"/>
        </w:rPr>
        <w:t>28.1%</w:t>
      </w:r>
      <w:r w:rsidRPr="00AE0D77">
        <w:rPr>
          <w:rFonts w:eastAsia="標楷體"/>
          <w:kern w:val="0"/>
          <w:sz w:val="28"/>
          <w:szCs w:val="20"/>
        </w:rPr>
        <w:t>及</w:t>
      </w:r>
      <w:r w:rsidRPr="00AE0D77">
        <w:rPr>
          <w:rFonts w:eastAsia="標楷體"/>
          <w:kern w:val="0"/>
          <w:sz w:val="28"/>
          <w:szCs w:val="20"/>
        </w:rPr>
        <w:t>26.2%</w:t>
      </w:r>
      <w:r w:rsidRPr="00AE0D77">
        <w:rPr>
          <w:rFonts w:eastAsia="標楷體"/>
          <w:kern w:val="0"/>
          <w:sz w:val="28"/>
          <w:szCs w:val="20"/>
        </w:rPr>
        <w:t>，較上年同月分別增加</w:t>
      </w:r>
      <w:r w:rsidRPr="00AE0D77">
        <w:rPr>
          <w:rFonts w:eastAsia="標楷體"/>
          <w:kern w:val="0"/>
          <w:sz w:val="28"/>
          <w:szCs w:val="20"/>
        </w:rPr>
        <w:t>10.2%</w:t>
      </w:r>
      <w:r w:rsidRPr="00AE0D77">
        <w:rPr>
          <w:rFonts w:eastAsia="標楷體"/>
          <w:kern w:val="0"/>
          <w:sz w:val="28"/>
          <w:szCs w:val="20"/>
        </w:rPr>
        <w:t>及</w:t>
      </w:r>
      <w:r w:rsidRPr="00AE0D77">
        <w:rPr>
          <w:rFonts w:eastAsia="標楷體"/>
          <w:kern w:val="0"/>
          <w:sz w:val="28"/>
          <w:szCs w:val="20"/>
        </w:rPr>
        <w:t>14.5%</w:t>
      </w:r>
      <w:r w:rsidRPr="00AE0D77">
        <w:rPr>
          <w:rFonts w:eastAsia="標楷體"/>
          <w:kern w:val="0"/>
          <w:sz w:val="28"/>
          <w:szCs w:val="20"/>
        </w:rPr>
        <w:t>；另歐洲及日本亦分別增加</w:t>
      </w:r>
      <w:r w:rsidRPr="00AE0D77">
        <w:rPr>
          <w:rFonts w:eastAsia="標楷體"/>
          <w:kern w:val="0"/>
          <w:sz w:val="28"/>
          <w:szCs w:val="20"/>
        </w:rPr>
        <w:t>15.3%</w:t>
      </w:r>
      <w:r w:rsidRPr="00AE0D77">
        <w:rPr>
          <w:rFonts w:eastAsia="標楷體"/>
          <w:kern w:val="0"/>
          <w:sz w:val="28"/>
          <w:szCs w:val="20"/>
        </w:rPr>
        <w:t>及</w:t>
      </w:r>
      <w:r w:rsidRPr="00AE0D77">
        <w:rPr>
          <w:rFonts w:eastAsia="標楷體"/>
          <w:kern w:val="0"/>
          <w:sz w:val="28"/>
          <w:szCs w:val="20"/>
        </w:rPr>
        <w:t>19.2%</w:t>
      </w:r>
      <w:r w:rsidRPr="00AE0D77">
        <w:rPr>
          <w:rFonts w:eastAsia="標楷體"/>
          <w:kern w:val="0"/>
          <w:sz w:val="28"/>
          <w:szCs w:val="20"/>
        </w:rPr>
        <w:t>。</w:t>
      </w:r>
    </w:p>
    <w:p w:rsidR="00F67965" w:rsidRPr="00AE0D77" w:rsidRDefault="00F67965"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br w:type="page"/>
      </w:r>
    </w:p>
    <w:p w:rsidR="00F67965" w:rsidRPr="00AE0D77" w:rsidRDefault="00F67965" w:rsidP="00F67965">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2-5-3</w:t>
      </w:r>
      <w:r w:rsidRPr="00AE0D77">
        <w:rPr>
          <w:rFonts w:eastAsia="標楷體"/>
          <w:b/>
          <w:bCs/>
          <w:sz w:val="28"/>
        </w:rPr>
        <w:t xml:space="preserve">　外銷訂單海外生產比重</w:t>
      </w:r>
    </w:p>
    <w:p w:rsidR="00F67965" w:rsidRPr="00AE0D77" w:rsidRDefault="00F67965" w:rsidP="00F67965">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701"/>
        <w:gridCol w:w="895"/>
        <w:gridCol w:w="1119"/>
        <w:gridCol w:w="1119"/>
        <w:gridCol w:w="1119"/>
        <w:gridCol w:w="1119"/>
        <w:gridCol w:w="1119"/>
      </w:tblGrid>
      <w:tr w:rsidR="00E612D0" w:rsidRPr="00AE0D77" w:rsidTr="00E27BD4">
        <w:trPr>
          <w:trHeight w:val="397"/>
          <w:jc w:val="center"/>
        </w:trPr>
        <w:tc>
          <w:tcPr>
            <w:tcW w:w="1701" w:type="dxa"/>
            <w:tcBorders>
              <w:top w:val="single" w:sz="4" w:space="0" w:color="auto"/>
              <w:left w:val="nil"/>
              <w:bottom w:val="single" w:sz="4" w:space="0" w:color="auto"/>
              <w:right w:val="single" w:sz="4" w:space="0" w:color="auto"/>
            </w:tcBorders>
            <w:vAlign w:val="center"/>
            <w:hideMark/>
          </w:tcPr>
          <w:p w:rsidR="00E27BD4" w:rsidRPr="00AE0D77" w:rsidRDefault="00E27BD4">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895" w:type="dxa"/>
            <w:tcBorders>
              <w:top w:val="single" w:sz="4" w:space="0" w:color="auto"/>
              <w:left w:val="single" w:sz="4" w:space="0" w:color="auto"/>
              <w:bottom w:val="single" w:sz="4" w:space="0" w:color="auto"/>
              <w:right w:val="single" w:sz="4" w:space="0" w:color="auto"/>
            </w:tcBorders>
            <w:vAlign w:val="center"/>
            <w:hideMark/>
          </w:tcPr>
          <w:p w:rsidR="00E27BD4" w:rsidRPr="00AE0D77" w:rsidRDefault="00E27BD4">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E27BD4" w:rsidRPr="00AE0D77" w:rsidRDefault="00E27BD4">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E27BD4" w:rsidRPr="00AE0D77" w:rsidRDefault="00E27BD4">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27BD4" w:rsidRPr="00AE0D77" w:rsidRDefault="00E27BD4">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27BD4" w:rsidRPr="00AE0D77" w:rsidRDefault="00E27BD4">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single" w:sz="4" w:space="0" w:color="auto"/>
            </w:tcBorders>
            <w:vAlign w:val="center"/>
            <w:hideMark/>
          </w:tcPr>
          <w:p w:rsidR="00E27BD4" w:rsidRPr="00AE0D77" w:rsidRDefault="00E27BD4">
            <w:pPr>
              <w:snapToGrid w:val="0"/>
              <w:spacing w:line="300" w:lineRule="exact"/>
              <w:ind w:left="28" w:right="-40"/>
              <w:jc w:val="center"/>
              <w:rPr>
                <w:rFonts w:eastAsia="標楷體"/>
              </w:rPr>
            </w:pPr>
            <w:r w:rsidRPr="00AE0D77">
              <w:rPr>
                <w:rFonts w:eastAsia="標楷體"/>
              </w:rPr>
              <w:t>化學品</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31" w:right="459" w:hangingChars="13" w:hanging="31"/>
              <w:jc w:val="both"/>
              <w:rPr>
                <w:rFonts w:eastAsia="標楷體"/>
              </w:rPr>
            </w:pPr>
            <w:r w:rsidRPr="00AE0D77">
              <w:rPr>
                <w:rFonts w:eastAsia="標楷體"/>
                <w:b/>
                <w:bCs/>
              </w:rPr>
              <w:t xml:space="preserve"> 101</w:t>
            </w:r>
            <w:r w:rsidRPr="00AE0D77">
              <w:rPr>
                <w:rFonts w:eastAsia="標楷體"/>
                <w:b/>
                <w:bCs/>
              </w:rPr>
              <w:t>年</w:t>
            </w:r>
          </w:p>
        </w:tc>
        <w:tc>
          <w:tcPr>
            <w:tcW w:w="895" w:type="dxa"/>
            <w:tcBorders>
              <w:top w:val="nil"/>
              <w:left w:val="nil"/>
              <w:bottom w:val="nil"/>
              <w:right w:val="nil"/>
            </w:tcBorders>
            <w:vAlign w:val="center"/>
            <w:hideMark/>
          </w:tcPr>
          <w:p w:rsidR="00E27BD4" w:rsidRPr="00AE0D77" w:rsidRDefault="00E27BD4">
            <w:pPr>
              <w:jc w:val="center"/>
              <w:rPr>
                <w:rFonts w:eastAsia="標楷體"/>
                <w:b/>
                <w:bCs/>
                <w:szCs w:val="20"/>
              </w:rPr>
            </w:pPr>
            <w:r w:rsidRPr="00AE0D77">
              <w:rPr>
                <w:rFonts w:eastAsia="標楷體"/>
                <w:b/>
                <w:bCs/>
                <w:szCs w:val="20"/>
              </w:rPr>
              <w:t>50.9</w:t>
            </w:r>
          </w:p>
        </w:tc>
        <w:tc>
          <w:tcPr>
            <w:tcW w:w="1119" w:type="dxa"/>
            <w:tcBorders>
              <w:top w:val="nil"/>
              <w:left w:val="nil"/>
              <w:bottom w:val="nil"/>
              <w:right w:val="nil"/>
            </w:tcBorders>
            <w:vAlign w:val="center"/>
            <w:hideMark/>
          </w:tcPr>
          <w:p w:rsidR="00E27BD4" w:rsidRPr="00AE0D77" w:rsidRDefault="00E27BD4">
            <w:pPr>
              <w:jc w:val="center"/>
              <w:rPr>
                <w:rFonts w:eastAsia="標楷體"/>
                <w:b/>
                <w:bCs/>
                <w:szCs w:val="20"/>
              </w:rPr>
            </w:pPr>
            <w:r w:rsidRPr="00AE0D77">
              <w:rPr>
                <w:rFonts w:eastAsia="標楷體"/>
                <w:b/>
                <w:bCs/>
                <w:szCs w:val="20"/>
              </w:rPr>
              <w:t>84.6</w:t>
            </w:r>
          </w:p>
        </w:tc>
        <w:tc>
          <w:tcPr>
            <w:tcW w:w="1119" w:type="dxa"/>
            <w:tcBorders>
              <w:top w:val="nil"/>
              <w:left w:val="nil"/>
              <w:bottom w:val="nil"/>
              <w:right w:val="nil"/>
            </w:tcBorders>
            <w:vAlign w:val="center"/>
            <w:hideMark/>
          </w:tcPr>
          <w:p w:rsidR="00E27BD4" w:rsidRPr="00AE0D77" w:rsidRDefault="00E27BD4">
            <w:pPr>
              <w:jc w:val="center"/>
              <w:rPr>
                <w:rFonts w:eastAsia="標楷體"/>
                <w:b/>
                <w:bCs/>
                <w:szCs w:val="20"/>
              </w:rPr>
            </w:pPr>
            <w:r w:rsidRPr="00AE0D77">
              <w:rPr>
                <w:rFonts w:eastAsia="標楷體"/>
                <w:b/>
                <w:bCs/>
                <w:szCs w:val="20"/>
              </w:rPr>
              <w:t>67.8</w:t>
            </w:r>
          </w:p>
        </w:tc>
        <w:tc>
          <w:tcPr>
            <w:tcW w:w="1119" w:type="dxa"/>
            <w:tcBorders>
              <w:top w:val="nil"/>
              <w:left w:val="nil"/>
              <w:bottom w:val="nil"/>
              <w:right w:val="nil"/>
            </w:tcBorders>
            <w:vAlign w:val="center"/>
            <w:hideMark/>
          </w:tcPr>
          <w:p w:rsidR="00E27BD4" w:rsidRPr="00AE0D77" w:rsidRDefault="00E27BD4">
            <w:pPr>
              <w:jc w:val="center"/>
              <w:rPr>
                <w:rFonts w:eastAsia="標楷體"/>
                <w:b/>
                <w:bCs/>
                <w:szCs w:val="20"/>
              </w:rPr>
            </w:pPr>
            <w:r w:rsidRPr="00AE0D77">
              <w:rPr>
                <w:rFonts w:eastAsia="標楷體"/>
                <w:b/>
                <w:bCs/>
                <w:szCs w:val="20"/>
              </w:rPr>
              <w:t>52.4</w:t>
            </w:r>
          </w:p>
        </w:tc>
        <w:tc>
          <w:tcPr>
            <w:tcW w:w="1119" w:type="dxa"/>
            <w:tcBorders>
              <w:top w:val="nil"/>
              <w:left w:val="nil"/>
              <w:bottom w:val="nil"/>
              <w:right w:val="nil"/>
            </w:tcBorders>
            <w:vAlign w:val="center"/>
            <w:hideMark/>
          </w:tcPr>
          <w:p w:rsidR="00E27BD4" w:rsidRPr="00AE0D77" w:rsidRDefault="00E27BD4">
            <w:pPr>
              <w:jc w:val="center"/>
              <w:rPr>
                <w:rFonts w:eastAsia="標楷體"/>
                <w:b/>
                <w:bCs/>
                <w:szCs w:val="20"/>
              </w:rPr>
            </w:pPr>
            <w:r w:rsidRPr="00AE0D77">
              <w:rPr>
                <w:rFonts w:eastAsia="標楷體"/>
                <w:b/>
                <w:bCs/>
                <w:szCs w:val="20"/>
              </w:rPr>
              <w:t>56.5</w:t>
            </w:r>
          </w:p>
        </w:tc>
        <w:tc>
          <w:tcPr>
            <w:tcW w:w="1119" w:type="dxa"/>
            <w:tcBorders>
              <w:top w:val="nil"/>
              <w:left w:val="nil"/>
              <w:bottom w:val="nil"/>
              <w:right w:val="nil"/>
            </w:tcBorders>
            <w:vAlign w:val="center"/>
            <w:hideMark/>
          </w:tcPr>
          <w:p w:rsidR="00E27BD4" w:rsidRPr="00AE0D77" w:rsidRDefault="00E27BD4">
            <w:pPr>
              <w:jc w:val="center"/>
              <w:rPr>
                <w:rFonts w:eastAsia="標楷體"/>
                <w:b/>
                <w:bCs/>
                <w:szCs w:val="20"/>
              </w:rPr>
            </w:pPr>
            <w:r w:rsidRPr="00AE0D77">
              <w:rPr>
                <w:rFonts w:eastAsia="標楷體"/>
                <w:b/>
                <w:bCs/>
                <w:szCs w:val="20"/>
              </w:rPr>
              <w:t>20.6</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895" w:type="dxa"/>
            <w:tcBorders>
              <w:top w:val="nil"/>
              <w:left w:val="nil"/>
              <w:bottom w:val="nil"/>
              <w:right w:val="nil"/>
            </w:tcBorders>
            <w:vAlign w:val="bottom"/>
            <w:hideMark/>
          </w:tcPr>
          <w:p w:rsidR="00E27BD4" w:rsidRPr="00AE0D77" w:rsidRDefault="00E27BD4">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hideMark/>
          </w:tcPr>
          <w:p w:rsidR="00E27BD4" w:rsidRPr="00AE0D77" w:rsidRDefault="00E27BD4">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hideMark/>
          </w:tcPr>
          <w:p w:rsidR="00E27BD4" w:rsidRPr="00AE0D77" w:rsidRDefault="00E27BD4">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hideMark/>
          </w:tcPr>
          <w:p w:rsidR="00E27BD4" w:rsidRPr="00AE0D77" w:rsidRDefault="00E27BD4">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hideMark/>
          </w:tcPr>
          <w:p w:rsidR="00E27BD4" w:rsidRPr="00AE0D77" w:rsidRDefault="00E27BD4">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hideMark/>
          </w:tcPr>
          <w:p w:rsidR="00E27BD4" w:rsidRPr="00AE0D77" w:rsidRDefault="00E27BD4">
            <w:pPr>
              <w:jc w:val="center"/>
              <w:rPr>
                <w:rFonts w:eastAsia="標楷體"/>
                <w:b/>
                <w:szCs w:val="20"/>
              </w:rPr>
            </w:pPr>
            <w:r w:rsidRPr="00AE0D77">
              <w:rPr>
                <w:rFonts w:eastAsia="標楷體"/>
                <w:b/>
                <w:szCs w:val="20"/>
              </w:rPr>
              <w:t>19.6</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895"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21.3</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895"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21.1</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895"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hideMark/>
          </w:tcPr>
          <w:p w:rsidR="00E27BD4" w:rsidRPr="00AE0D77" w:rsidRDefault="00E27BD4">
            <w:pPr>
              <w:jc w:val="center"/>
              <w:rPr>
                <w:rFonts w:eastAsia="標楷體"/>
                <w:b/>
                <w:szCs w:val="20"/>
              </w:rPr>
            </w:pPr>
            <w:r w:rsidRPr="00AE0D77">
              <w:rPr>
                <w:rFonts w:eastAsia="標楷體"/>
                <w:b/>
                <w:szCs w:val="20"/>
              </w:rPr>
              <w:t>19.2</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5</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51.2</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92.9</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69.9</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44.8</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46.9</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18.5</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6</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52.5</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93.6</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70.0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44.5</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47.5</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18.3</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7</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52.2</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93.3</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71.4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45.2</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44.8</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17.9</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8</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52.4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92.0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73.9</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44.8</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46.4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17.7</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9</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59.0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93.9</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76.8</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49.4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47.5</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18.5</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10</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57.8</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94.0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75.0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48.7</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46.0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18.4</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11</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57.4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94.0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74.0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49.1</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46.5</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19.9</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12</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55.4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93.8</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72.7</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49.1</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45.5</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20.0</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right="240"/>
              <w:jc w:val="both"/>
              <w:rPr>
                <w:rFonts w:eastAsia="標楷體"/>
              </w:rPr>
            </w:pPr>
            <w:r w:rsidRPr="00AE0D77">
              <w:rPr>
                <w:rFonts w:eastAsia="標楷體"/>
                <w:b/>
                <w:bCs/>
              </w:rPr>
              <w:t>106</w:t>
            </w:r>
            <w:r w:rsidRPr="00AE0D77">
              <w:rPr>
                <w:rFonts w:eastAsia="標楷體"/>
                <w:b/>
                <w:bCs/>
              </w:rPr>
              <w:t>年</w:t>
            </w:r>
            <w:r w:rsidRPr="00AE0D77">
              <w:rPr>
                <w:rFonts w:eastAsia="標楷體"/>
                <w:b/>
                <w:bCs/>
              </w:rPr>
              <w:t>1~5</w:t>
            </w:r>
            <w:r w:rsidRPr="00AE0D77">
              <w:rPr>
                <w:rFonts w:eastAsia="標楷體"/>
                <w:b/>
                <w:bCs/>
              </w:rPr>
              <w:t>月</w:t>
            </w:r>
          </w:p>
        </w:tc>
        <w:tc>
          <w:tcPr>
            <w:tcW w:w="895"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51.4</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70.7</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45.6</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45.3</w:t>
            </w:r>
          </w:p>
        </w:tc>
        <w:tc>
          <w:tcPr>
            <w:tcW w:w="1119" w:type="dxa"/>
            <w:tcBorders>
              <w:top w:val="nil"/>
              <w:left w:val="nil"/>
              <w:bottom w:val="nil"/>
              <w:right w:val="nil"/>
            </w:tcBorders>
            <w:hideMark/>
          </w:tcPr>
          <w:p w:rsidR="00E27BD4" w:rsidRPr="00AE0D77" w:rsidRDefault="00E27BD4">
            <w:pPr>
              <w:jc w:val="center"/>
              <w:rPr>
                <w:rFonts w:eastAsia="標楷體"/>
                <w:b/>
                <w:szCs w:val="20"/>
              </w:rPr>
            </w:pPr>
            <w:r w:rsidRPr="00AE0D77">
              <w:rPr>
                <w:rFonts w:eastAsia="標楷體"/>
                <w:b/>
                <w:szCs w:val="20"/>
              </w:rPr>
              <w:t>17.1</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1</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52.4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93.7</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70.0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46.4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43.3</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18.5</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2</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51.6</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93.3</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68.5</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45.2</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46.7</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17.9</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3</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50.9</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93.2</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69.9</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45.4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44.4</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16.3</w:t>
            </w:r>
          </w:p>
        </w:tc>
      </w:tr>
      <w:tr w:rsidR="00E612D0" w:rsidRPr="00AE0D77" w:rsidTr="00E27BD4">
        <w:trPr>
          <w:trHeight w:val="86"/>
          <w:jc w:val="center"/>
        </w:trPr>
        <w:tc>
          <w:tcPr>
            <w:tcW w:w="1701" w:type="dxa"/>
            <w:tcBorders>
              <w:top w:val="nil"/>
              <w:left w:val="nil"/>
              <w:bottom w:val="nil"/>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4</w:t>
            </w:r>
            <w:r w:rsidRPr="00AE0D77">
              <w:rPr>
                <w:rFonts w:eastAsia="標楷體"/>
              </w:rPr>
              <w:t>月</w:t>
            </w:r>
          </w:p>
        </w:tc>
        <w:tc>
          <w:tcPr>
            <w:tcW w:w="895"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51.7</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93.3</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72.9</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46.7</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46.0</w:t>
            </w:r>
          </w:p>
        </w:tc>
        <w:tc>
          <w:tcPr>
            <w:tcW w:w="1119" w:type="dxa"/>
            <w:tcBorders>
              <w:top w:val="nil"/>
              <w:left w:val="nil"/>
              <w:bottom w:val="nil"/>
              <w:right w:val="nil"/>
            </w:tcBorders>
            <w:hideMark/>
          </w:tcPr>
          <w:p w:rsidR="00E27BD4" w:rsidRPr="00AE0D77" w:rsidRDefault="00E27BD4">
            <w:pPr>
              <w:jc w:val="center"/>
              <w:rPr>
                <w:rFonts w:eastAsia="標楷體"/>
                <w:szCs w:val="20"/>
              </w:rPr>
            </w:pPr>
            <w:r w:rsidRPr="00AE0D77">
              <w:rPr>
                <w:rFonts w:eastAsia="標楷體"/>
                <w:szCs w:val="20"/>
              </w:rPr>
              <w:t>16.6</w:t>
            </w:r>
          </w:p>
        </w:tc>
      </w:tr>
      <w:tr w:rsidR="00E612D0" w:rsidRPr="00AE0D77" w:rsidTr="00E27BD4">
        <w:trPr>
          <w:trHeight w:val="86"/>
          <w:jc w:val="center"/>
        </w:trPr>
        <w:tc>
          <w:tcPr>
            <w:tcW w:w="1701" w:type="dxa"/>
            <w:tcBorders>
              <w:top w:val="nil"/>
              <w:left w:val="nil"/>
              <w:bottom w:val="single" w:sz="4" w:space="0" w:color="auto"/>
              <w:right w:val="single" w:sz="4" w:space="0" w:color="auto"/>
            </w:tcBorders>
            <w:hideMark/>
          </w:tcPr>
          <w:p w:rsidR="00E27BD4" w:rsidRPr="00AE0D77" w:rsidRDefault="00E27BD4">
            <w:pPr>
              <w:snapToGrid w:val="0"/>
              <w:spacing w:line="400" w:lineRule="exact"/>
              <w:ind w:leftChars="-11" w:left="-26" w:right="240" w:firstLineChars="200" w:firstLine="480"/>
              <w:jc w:val="both"/>
              <w:rPr>
                <w:rFonts w:eastAsia="標楷體"/>
              </w:rPr>
            </w:pPr>
            <w:r w:rsidRPr="00AE0D77">
              <w:rPr>
                <w:rFonts w:eastAsia="標楷體"/>
              </w:rPr>
              <w:t>5</w:t>
            </w:r>
            <w:r w:rsidRPr="00AE0D77">
              <w:rPr>
                <w:rFonts w:eastAsia="標楷體"/>
              </w:rPr>
              <w:t>月</w:t>
            </w:r>
          </w:p>
        </w:tc>
        <w:tc>
          <w:tcPr>
            <w:tcW w:w="895" w:type="dxa"/>
            <w:tcBorders>
              <w:top w:val="nil"/>
              <w:left w:val="nil"/>
              <w:bottom w:val="single" w:sz="4" w:space="0" w:color="auto"/>
              <w:right w:val="nil"/>
            </w:tcBorders>
            <w:hideMark/>
          </w:tcPr>
          <w:p w:rsidR="00E27BD4" w:rsidRPr="00AE0D77" w:rsidRDefault="00E27BD4">
            <w:pPr>
              <w:jc w:val="center"/>
              <w:rPr>
                <w:rFonts w:eastAsia="標楷體"/>
                <w:szCs w:val="20"/>
              </w:rPr>
            </w:pPr>
            <w:r w:rsidRPr="00AE0D77">
              <w:rPr>
                <w:rFonts w:eastAsia="標楷體"/>
                <w:szCs w:val="20"/>
              </w:rPr>
              <w:t>50.4</w:t>
            </w:r>
          </w:p>
        </w:tc>
        <w:tc>
          <w:tcPr>
            <w:tcW w:w="1119" w:type="dxa"/>
            <w:tcBorders>
              <w:top w:val="nil"/>
              <w:left w:val="nil"/>
              <w:bottom w:val="single" w:sz="4" w:space="0" w:color="auto"/>
              <w:right w:val="nil"/>
            </w:tcBorders>
            <w:hideMark/>
          </w:tcPr>
          <w:p w:rsidR="00E27BD4" w:rsidRPr="00AE0D77" w:rsidRDefault="00E27BD4">
            <w:pPr>
              <w:jc w:val="center"/>
              <w:rPr>
                <w:rFonts w:eastAsia="標楷體"/>
                <w:szCs w:val="20"/>
              </w:rPr>
            </w:pPr>
            <w:r w:rsidRPr="00AE0D77">
              <w:rPr>
                <w:rFonts w:eastAsia="標楷體"/>
                <w:szCs w:val="20"/>
              </w:rPr>
              <w:t>93.7</w:t>
            </w:r>
          </w:p>
        </w:tc>
        <w:tc>
          <w:tcPr>
            <w:tcW w:w="1119" w:type="dxa"/>
            <w:tcBorders>
              <w:top w:val="nil"/>
              <w:left w:val="nil"/>
              <w:bottom w:val="single" w:sz="4" w:space="0" w:color="auto"/>
              <w:right w:val="nil"/>
            </w:tcBorders>
            <w:hideMark/>
          </w:tcPr>
          <w:p w:rsidR="00E27BD4" w:rsidRPr="00AE0D77" w:rsidRDefault="00E27BD4">
            <w:pPr>
              <w:jc w:val="center"/>
              <w:rPr>
                <w:rFonts w:eastAsia="標楷體"/>
                <w:szCs w:val="20"/>
              </w:rPr>
            </w:pPr>
            <w:r w:rsidRPr="00AE0D77">
              <w:rPr>
                <w:rFonts w:eastAsia="標楷體"/>
                <w:szCs w:val="20"/>
              </w:rPr>
              <w:t>72.2</w:t>
            </w:r>
          </w:p>
        </w:tc>
        <w:tc>
          <w:tcPr>
            <w:tcW w:w="1119" w:type="dxa"/>
            <w:tcBorders>
              <w:top w:val="nil"/>
              <w:left w:val="nil"/>
              <w:bottom w:val="single" w:sz="4" w:space="0" w:color="auto"/>
              <w:right w:val="nil"/>
            </w:tcBorders>
            <w:hideMark/>
          </w:tcPr>
          <w:p w:rsidR="00E27BD4" w:rsidRPr="00AE0D77" w:rsidRDefault="00E27BD4">
            <w:pPr>
              <w:jc w:val="center"/>
              <w:rPr>
                <w:rFonts w:eastAsia="標楷體"/>
                <w:szCs w:val="20"/>
              </w:rPr>
            </w:pPr>
            <w:r w:rsidRPr="00AE0D77">
              <w:rPr>
                <w:rFonts w:eastAsia="標楷體"/>
                <w:szCs w:val="20"/>
              </w:rPr>
              <w:t>44.4</w:t>
            </w:r>
          </w:p>
        </w:tc>
        <w:tc>
          <w:tcPr>
            <w:tcW w:w="1119" w:type="dxa"/>
            <w:tcBorders>
              <w:top w:val="nil"/>
              <w:left w:val="nil"/>
              <w:bottom w:val="single" w:sz="4" w:space="0" w:color="auto"/>
              <w:right w:val="nil"/>
            </w:tcBorders>
            <w:hideMark/>
          </w:tcPr>
          <w:p w:rsidR="00E27BD4" w:rsidRPr="00AE0D77" w:rsidRDefault="00E27BD4">
            <w:pPr>
              <w:jc w:val="center"/>
              <w:rPr>
                <w:rFonts w:eastAsia="標楷體"/>
                <w:szCs w:val="20"/>
              </w:rPr>
            </w:pPr>
            <w:r w:rsidRPr="00AE0D77">
              <w:rPr>
                <w:rFonts w:eastAsia="標楷體"/>
                <w:szCs w:val="20"/>
              </w:rPr>
              <w:t>46.1</w:t>
            </w:r>
          </w:p>
        </w:tc>
        <w:tc>
          <w:tcPr>
            <w:tcW w:w="1119" w:type="dxa"/>
            <w:tcBorders>
              <w:top w:val="nil"/>
              <w:left w:val="nil"/>
              <w:bottom w:val="single" w:sz="4" w:space="0" w:color="auto"/>
              <w:right w:val="nil"/>
            </w:tcBorders>
            <w:hideMark/>
          </w:tcPr>
          <w:p w:rsidR="00E27BD4" w:rsidRPr="00AE0D77" w:rsidRDefault="00E27BD4">
            <w:pPr>
              <w:jc w:val="center"/>
              <w:rPr>
                <w:rFonts w:eastAsia="標楷體"/>
                <w:szCs w:val="20"/>
              </w:rPr>
            </w:pPr>
            <w:r w:rsidRPr="00AE0D77">
              <w:rPr>
                <w:rFonts w:eastAsia="標楷體"/>
                <w:szCs w:val="20"/>
              </w:rPr>
              <w:t>16.4</w:t>
            </w:r>
          </w:p>
        </w:tc>
      </w:tr>
    </w:tbl>
    <w:p w:rsidR="00F67965" w:rsidRPr="00AE0D77" w:rsidRDefault="00F67965" w:rsidP="00F67965">
      <w:pPr>
        <w:widowControl/>
        <w:snapToGrid w:val="0"/>
        <w:spacing w:line="240" w:lineRule="atLeast"/>
        <w:jc w:val="both"/>
        <w:rPr>
          <w:rFonts w:eastAsia="標楷體"/>
          <w:kern w:val="0"/>
          <w:sz w:val="22"/>
          <w:szCs w:val="22"/>
        </w:rPr>
      </w:pPr>
      <w:r w:rsidRPr="00AE0D77">
        <w:rPr>
          <w:rFonts w:eastAsia="標楷體"/>
          <w:kern w:val="0"/>
          <w:sz w:val="22"/>
          <w:szCs w:val="22"/>
        </w:rPr>
        <w:t>資料來源：經濟部統計處。</w:t>
      </w:r>
    </w:p>
    <w:p w:rsidR="00F67965" w:rsidRPr="00AE0D77" w:rsidRDefault="00F67965" w:rsidP="00F67965">
      <w:pPr>
        <w:widowControl/>
        <w:snapToGrid w:val="0"/>
        <w:spacing w:line="240" w:lineRule="atLeast"/>
        <w:jc w:val="both"/>
        <w:rPr>
          <w:rFonts w:eastAsia="標楷體"/>
          <w:kern w:val="0"/>
          <w:szCs w:val="20"/>
        </w:rPr>
      </w:pPr>
    </w:p>
    <w:p w:rsidR="00F67965" w:rsidRPr="00AE0D77" w:rsidRDefault="00F67965" w:rsidP="00F67965">
      <w:pPr>
        <w:spacing w:afterLines="50" w:after="180"/>
        <w:jc w:val="center"/>
        <w:rPr>
          <w:rFonts w:eastAsia="標楷體"/>
          <w:b/>
          <w:sz w:val="28"/>
          <w:szCs w:val="28"/>
        </w:rPr>
      </w:pPr>
      <w:r w:rsidRPr="00AE0D77">
        <w:rPr>
          <w:rFonts w:eastAsia="標楷體"/>
          <w:b/>
          <w:sz w:val="28"/>
          <w:szCs w:val="28"/>
        </w:rPr>
        <w:t>表</w:t>
      </w:r>
      <w:r w:rsidRPr="00AE0D77">
        <w:rPr>
          <w:rFonts w:eastAsia="標楷體"/>
          <w:b/>
          <w:sz w:val="28"/>
          <w:szCs w:val="28"/>
        </w:rPr>
        <w:t xml:space="preserve"> 2-5-4</w:t>
      </w:r>
      <w:r w:rsidRPr="00AE0D77">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E612D0" w:rsidRPr="00AE0D77" w:rsidTr="00E27BD4">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E27BD4" w:rsidRPr="00AE0D77" w:rsidRDefault="00E27BD4">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E27BD4" w:rsidRPr="00AE0D77" w:rsidRDefault="00E27BD4">
            <w:pPr>
              <w:snapToGrid w:val="0"/>
              <w:spacing w:line="360" w:lineRule="atLeast"/>
              <w:ind w:left="28" w:right="-40"/>
              <w:jc w:val="center"/>
              <w:rPr>
                <w:rFonts w:eastAsia="標楷體"/>
              </w:rPr>
            </w:pPr>
            <w:r w:rsidRPr="00AE0D77">
              <w:rPr>
                <w:rFonts w:eastAsia="標楷體"/>
              </w:rPr>
              <w:t>106</w:t>
            </w:r>
            <w:r w:rsidRPr="00AE0D77">
              <w:rPr>
                <w:rFonts w:eastAsia="標楷體"/>
              </w:rPr>
              <w:t>年</w:t>
            </w:r>
            <w:r w:rsidRPr="00AE0D77">
              <w:rPr>
                <w:rFonts w:eastAsia="標楷體"/>
              </w:rPr>
              <w:t>5</w:t>
            </w:r>
            <w:r w:rsidRPr="00AE0D77">
              <w:rPr>
                <w:rFonts w:eastAsia="標楷體"/>
              </w:rPr>
              <w:t>月</w:t>
            </w:r>
          </w:p>
        </w:tc>
      </w:tr>
      <w:tr w:rsidR="00E612D0" w:rsidRPr="00AE0D77" w:rsidTr="00E27BD4">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E27BD4" w:rsidRPr="00AE0D77" w:rsidRDefault="00E27BD4">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E27BD4" w:rsidRPr="00AE0D77" w:rsidRDefault="00E27BD4">
            <w:pPr>
              <w:snapToGrid w:val="0"/>
              <w:spacing w:line="360" w:lineRule="atLeast"/>
              <w:ind w:left="28" w:right="-40"/>
              <w:jc w:val="center"/>
              <w:rPr>
                <w:rFonts w:eastAsia="標楷體"/>
              </w:rPr>
            </w:pPr>
            <w:r w:rsidRPr="00AE0D77">
              <w:rPr>
                <w:rFonts w:eastAsia="標楷體"/>
              </w:rPr>
              <w:t>金額</w:t>
            </w:r>
          </w:p>
          <w:p w:rsidR="00E27BD4" w:rsidRPr="00AE0D77" w:rsidRDefault="00E27BD4">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E27BD4" w:rsidRPr="00AE0D77" w:rsidRDefault="00E27BD4">
            <w:pPr>
              <w:adjustRightInd w:val="0"/>
              <w:snapToGrid w:val="0"/>
              <w:spacing w:line="360" w:lineRule="atLeast"/>
              <w:jc w:val="center"/>
              <w:rPr>
                <w:rFonts w:eastAsia="標楷體"/>
              </w:rPr>
            </w:pPr>
            <w:r w:rsidRPr="00AE0D77">
              <w:rPr>
                <w:rFonts w:eastAsia="標楷體"/>
              </w:rPr>
              <w:t>較</w:t>
            </w:r>
            <w:r w:rsidRPr="00AE0D77">
              <w:rPr>
                <w:rFonts w:eastAsia="標楷體"/>
              </w:rPr>
              <w:t>105</w:t>
            </w:r>
            <w:r w:rsidRPr="00AE0D77">
              <w:rPr>
                <w:rFonts w:eastAsia="標楷體"/>
              </w:rPr>
              <w:t>年同月增減率</w:t>
            </w:r>
            <w:r w:rsidRPr="00AE0D77">
              <w:rPr>
                <w:rFonts w:eastAsia="標楷體"/>
              </w:rPr>
              <w:t>(%)</w:t>
            </w:r>
          </w:p>
        </w:tc>
      </w:tr>
      <w:tr w:rsidR="00E612D0" w:rsidRPr="00AE0D77" w:rsidTr="00E27BD4">
        <w:trPr>
          <w:jc w:val="center"/>
        </w:trPr>
        <w:tc>
          <w:tcPr>
            <w:tcW w:w="2378" w:type="dxa"/>
            <w:tcBorders>
              <w:top w:val="single" w:sz="4" w:space="0" w:color="auto"/>
              <w:left w:val="nil"/>
              <w:bottom w:val="nil"/>
              <w:right w:val="single" w:sz="4" w:space="0" w:color="auto"/>
            </w:tcBorders>
            <w:hideMark/>
          </w:tcPr>
          <w:p w:rsidR="00E27BD4" w:rsidRPr="00AE0D77" w:rsidRDefault="00E27BD4">
            <w:pPr>
              <w:snapToGrid w:val="0"/>
              <w:spacing w:line="360" w:lineRule="atLeast"/>
              <w:ind w:left="28" w:right="-40"/>
              <w:jc w:val="center"/>
              <w:rPr>
                <w:rFonts w:eastAsia="標楷體"/>
              </w:rPr>
            </w:pPr>
            <w:r w:rsidRPr="00AE0D77">
              <w:rPr>
                <w:rFonts w:eastAsia="標楷體"/>
              </w:rPr>
              <w:t>美國</w:t>
            </w:r>
          </w:p>
        </w:tc>
        <w:tc>
          <w:tcPr>
            <w:tcW w:w="2226" w:type="dxa"/>
            <w:tcBorders>
              <w:top w:val="single" w:sz="4" w:space="0" w:color="auto"/>
              <w:left w:val="single" w:sz="4" w:space="0" w:color="auto"/>
              <w:bottom w:val="nil"/>
              <w:right w:val="nil"/>
            </w:tcBorders>
            <w:hideMark/>
          </w:tcPr>
          <w:p w:rsidR="00E27BD4" w:rsidRPr="00AE0D77" w:rsidRDefault="00E27BD4">
            <w:pPr>
              <w:jc w:val="center"/>
              <w:rPr>
                <w:rFonts w:eastAsia="標楷體"/>
              </w:rPr>
            </w:pPr>
            <w:r w:rsidRPr="00AE0D77">
              <w:rPr>
                <w:rFonts w:eastAsia="標楷體"/>
              </w:rPr>
              <w:t>103.6</w:t>
            </w:r>
          </w:p>
        </w:tc>
        <w:tc>
          <w:tcPr>
            <w:tcW w:w="2888" w:type="dxa"/>
            <w:tcBorders>
              <w:top w:val="single" w:sz="4" w:space="0" w:color="auto"/>
              <w:left w:val="single" w:sz="4" w:space="0" w:color="auto"/>
              <w:bottom w:val="nil"/>
              <w:right w:val="nil"/>
            </w:tcBorders>
            <w:hideMark/>
          </w:tcPr>
          <w:p w:rsidR="00E27BD4" w:rsidRPr="00AE0D77" w:rsidRDefault="00E27BD4">
            <w:pPr>
              <w:jc w:val="center"/>
              <w:rPr>
                <w:rFonts w:eastAsia="標楷體"/>
              </w:rPr>
            </w:pPr>
            <w:r w:rsidRPr="00AE0D77">
              <w:rPr>
                <w:rFonts w:eastAsia="標楷體"/>
              </w:rPr>
              <w:t>10.2</w:t>
            </w:r>
          </w:p>
        </w:tc>
      </w:tr>
      <w:tr w:rsidR="00E612D0" w:rsidRPr="00AE0D77" w:rsidTr="00E27BD4">
        <w:trPr>
          <w:jc w:val="center"/>
        </w:trPr>
        <w:tc>
          <w:tcPr>
            <w:tcW w:w="2378" w:type="dxa"/>
            <w:tcBorders>
              <w:top w:val="nil"/>
              <w:left w:val="nil"/>
              <w:bottom w:val="nil"/>
              <w:right w:val="single" w:sz="4" w:space="0" w:color="auto"/>
            </w:tcBorders>
            <w:hideMark/>
          </w:tcPr>
          <w:p w:rsidR="00E27BD4" w:rsidRPr="00AE0D77" w:rsidRDefault="00E27BD4">
            <w:pPr>
              <w:snapToGrid w:val="0"/>
              <w:spacing w:line="360" w:lineRule="atLeast"/>
              <w:ind w:left="28" w:right="-40"/>
              <w:jc w:val="center"/>
              <w:rPr>
                <w:rFonts w:eastAsia="標楷體"/>
              </w:rPr>
            </w:pPr>
            <w:r w:rsidRPr="00AE0D77">
              <w:rPr>
                <w:rFonts w:eastAsia="標楷體"/>
              </w:rPr>
              <w:t>中國大陸（含香港）</w:t>
            </w:r>
          </w:p>
        </w:tc>
        <w:tc>
          <w:tcPr>
            <w:tcW w:w="2226" w:type="dxa"/>
            <w:tcBorders>
              <w:top w:val="nil"/>
              <w:left w:val="single" w:sz="4" w:space="0" w:color="auto"/>
              <w:bottom w:val="nil"/>
              <w:right w:val="nil"/>
            </w:tcBorders>
            <w:hideMark/>
          </w:tcPr>
          <w:p w:rsidR="00E27BD4" w:rsidRPr="00AE0D77" w:rsidRDefault="00E27BD4">
            <w:pPr>
              <w:jc w:val="center"/>
              <w:rPr>
                <w:rFonts w:eastAsia="標楷體"/>
              </w:rPr>
            </w:pPr>
            <w:r w:rsidRPr="00AE0D77">
              <w:rPr>
                <w:rFonts w:eastAsia="標楷體"/>
              </w:rPr>
              <w:t>96.3</w:t>
            </w:r>
          </w:p>
        </w:tc>
        <w:tc>
          <w:tcPr>
            <w:tcW w:w="2888" w:type="dxa"/>
            <w:tcBorders>
              <w:top w:val="nil"/>
              <w:left w:val="single" w:sz="4" w:space="0" w:color="auto"/>
              <w:bottom w:val="nil"/>
              <w:right w:val="nil"/>
            </w:tcBorders>
            <w:hideMark/>
          </w:tcPr>
          <w:p w:rsidR="00E27BD4" w:rsidRPr="00AE0D77" w:rsidRDefault="00E27BD4">
            <w:pPr>
              <w:jc w:val="center"/>
              <w:rPr>
                <w:rFonts w:eastAsia="標楷體"/>
              </w:rPr>
            </w:pPr>
            <w:r w:rsidRPr="00AE0D77">
              <w:rPr>
                <w:rFonts w:eastAsia="標楷體"/>
              </w:rPr>
              <w:t>14.5</w:t>
            </w:r>
          </w:p>
        </w:tc>
      </w:tr>
      <w:tr w:rsidR="00E612D0" w:rsidRPr="00AE0D77" w:rsidTr="00E27BD4">
        <w:trPr>
          <w:jc w:val="center"/>
        </w:trPr>
        <w:tc>
          <w:tcPr>
            <w:tcW w:w="2378" w:type="dxa"/>
            <w:tcBorders>
              <w:top w:val="nil"/>
              <w:left w:val="nil"/>
              <w:bottom w:val="nil"/>
              <w:right w:val="single" w:sz="4" w:space="0" w:color="auto"/>
            </w:tcBorders>
            <w:hideMark/>
          </w:tcPr>
          <w:p w:rsidR="00E27BD4" w:rsidRPr="00AE0D77" w:rsidRDefault="00E27BD4">
            <w:pPr>
              <w:snapToGrid w:val="0"/>
              <w:spacing w:line="360" w:lineRule="atLeast"/>
              <w:ind w:left="28" w:right="-40"/>
              <w:jc w:val="center"/>
              <w:rPr>
                <w:rFonts w:eastAsia="標楷體"/>
              </w:rPr>
            </w:pPr>
            <w:r w:rsidRPr="00AE0D77">
              <w:rPr>
                <w:rFonts w:eastAsia="標楷體"/>
              </w:rPr>
              <w:t>歐洲</w:t>
            </w:r>
          </w:p>
        </w:tc>
        <w:tc>
          <w:tcPr>
            <w:tcW w:w="2226" w:type="dxa"/>
            <w:tcBorders>
              <w:top w:val="nil"/>
              <w:left w:val="single" w:sz="4" w:space="0" w:color="auto"/>
              <w:bottom w:val="nil"/>
              <w:right w:val="nil"/>
            </w:tcBorders>
            <w:hideMark/>
          </w:tcPr>
          <w:p w:rsidR="00E27BD4" w:rsidRPr="00AE0D77" w:rsidRDefault="00E27BD4">
            <w:pPr>
              <w:jc w:val="center"/>
              <w:rPr>
                <w:rFonts w:eastAsia="標楷體"/>
              </w:rPr>
            </w:pPr>
            <w:r w:rsidRPr="00AE0D77">
              <w:rPr>
                <w:rFonts w:eastAsia="標楷體"/>
              </w:rPr>
              <w:t>66.3</w:t>
            </w:r>
          </w:p>
        </w:tc>
        <w:tc>
          <w:tcPr>
            <w:tcW w:w="2888" w:type="dxa"/>
            <w:tcBorders>
              <w:top w:val="nil"/>
              <w:left w:val="single" w:sz="4" w:space="0" w:color="auto"/>
              <w:bottom w:val="nil"/>
              <w:right w:val="nil"/>
            </w:tcBorders>
            <w:hideMark/>
          </w:tcPr>
          <w:p w:rsidR="00E27BD4" w:rsidRPr="00AE0D77" w:rsidRDefault="00E27BD4">
            <w:pPr>
              <w:jc w:val="center"/>
              <w:rPr>
                <w:rFonts w:eastAsia="標楷體"/>
              </w:rPr>
            </w:pPr>
            <w:r w:rsidRPr="00AE0D77">
              <w:rPr>
                <w:rFonts w:eastAsia="標楷體"/>
              </w:rPr>
              <w:t>15.3</w:t>
            </w:r>
          </w:p>
        </w:tc>
      </w:tr>
      <w:tr w:rsidR="00E612D0" w:rsidRPr="00AE0D77" w:rsidTr="00E27BD4">
        <w:trPr>
          <w:jc w:val="center"/>
        </w:trPr>
        <w:tc>
          <w:tcPr>
            <w:tcW w:w="2378" w:type="dxa"/>
            <w:tcBorders>
              <w:top w:val="nil"/>
              <w:left w:val="nil"/>
              <w:bottom w:val="nil"/>
              <w:right w:val="single" w:sz="4" w:space="0" w:color="auto"/>
            </w:tcBorders>
            <w:hideMark/>
          </w:tcPr>
          <w:p w:rsidR="00E27BD4" w:rsidRPr="00AE0D77" w:rsidRDefault="00E27BD4">
            <w:pPr>
              <w:snapToGrid w:val="0"/>
              <w:spacing w:line="360" w:lineRule="atLeast"/>
              <w:ind w:left="28" w:right="-40"/>
              <w:jc w:val="center"/>
              <w:rPr>
                <w:rFonts w:eastAsia="標楷體"/>
              </w:rPr>
            </w:pPr>
            <w:r w:rsidRPr="00AE0D77">
              <w:rPr>
                <w:rFonts w:eastAsia="標楷體"/>
              </w:rPr>
              <w:t>東協六國</w:t>
            </w:r>
          </w:p>
        </w:tc>
        <w:tc>
          <w:tcPr>
            <w:tcW w:w="2226" w:type="dxa"/>
            <w:tcBorders>
              <w:top w:val="nil"/>
              <w:left w:val="single" w:sz="4" w:space="0" w:color="auto"/>
              <w:bottom w:val="nil"/>
              <w:right w:val="nil"/>
            </w:tcBorders>
            <w:hideMark/>
          </w:tcPr>
          <w:p w:rsidR="00E27BD4" w:rsidRPr="00AE0D77" w:rsidRDefault="00E27BD4">
            <w:pPr>
              <w:jc w:val="center"/>
              <w:rPr>
                <w:rFonts w:eastAsia="標楷體"/>
              </w:rPr>
            </w:pPr>
            <w:r w:rsidRPr="00AE0D77">
              <w:rPr>
                <w:rFonts w:eastAsia="標楷體"/>
              </w:rPr>
              <w:t>40.2</w:t>
            </w:r>
          </w:p>
        </w:tc>
        <w:tc>
          <w:tcPr>
            <w:tcW w:w="2888" w:type="dxa"/>
            <w:tcBorders>
              <w:top w:val="nil"/>
              <w:left w:val="single" w:sz="4" w:space="0" w:color="auto"/>
              <w:bottom w:val="nil"/>
              <w:right w:val="nil"/>
            </w:tcBorders>
            <w:hideMark/>
          </w:tcPr>
          <w:p w:rsidR="00E27BD4" w:rsidRPr="00AE0D77" w:rsidRDefault="00E27BD4">
            <w:pPr>
              <w:jc w:val="center"/>
              <w:rPr>
                <w:rFonts w:eastAsia="標楷體"/>
              </w:rPr>
            </w:pPr>
            <w:r w:rsidRPr="00AE0D77">
              <w:rPr>
                <w:rFonts w:eastAsia="標楷體"/>
              </w:rPr>
              <w:t>-8.7</w:t>
            </w:r>
          </w:p>
        </w:tc>
      </w:tr>
      <w:tr w:rsidR="00E612D0" w:rsidRPr="00AE0D77" w:rsidTr="00E27BD4">
        <w:trPr>
          <w:trHeight w:val="425"/>
          <w:jc w:val="center"/>
        </w:trPr>
        <w:tc>
          <w:tcPr>
            <w:tcW w:w="2378" w:type="dxa"/>
            <w:tcBorders>
              <w:top w:val="nil"/>
              <w:left w:val="nil"/>
              <w:bottom w:val="single" w:sz="4" w:space="0" w:color="auto"/>
              <w:right w:val="single" w:sz="4" w:space="0" w:color="auto"/>
            </w:tcBorders>
            <w:hideMark/>
          </w:tcPr>
          <w:p w:rsidR="00E27BD4" w:rsidRPr="00AE0D77" w:rsidRDefault="00E27BD4">
            <w:pPr>
              <w:snapToGrid w:val="0"/>
              <w:spacing w:line="360" w:lineRule="atLeast"/>
              <w:ind w:left="28" w:right="-40"/>
              <w:jc w:val="center"/>
              <w:rPr>
                <w:rFonts w:eastAsia="標楷體"/>
              </w:rPr>
            </w:pPr>
            <w:r w:rsidRPr="00AE0D77">
              <w:rPr>
                <w:rFonts w:eastAsia="標楷體"/>
              </w:rPr>
              <w:t>日本</w:t>
            </w:r>
          </w:p>
        </w:tc>
        <w:tc>
          <w:tcPr>
            <w:tcW w:w="2226" w:type="dxa"/>
            <w:tcBorders>
              <w:top w:val="nil"/>
              <w:left w:val="single" w:sz="4" w:space="0" w:color="auto"/>
              <w:bottom w:val="single" w:sz="4" w:space="0" w:color="auto"/>
              <w:right w:val="nil"/>
            </w:tcBorders>
            <w:hideMark/>
          </w:tcPr>
          <w:p w:rsidR="00E27BD4" w:rsidRPr="00AE0D77" w:rsidRDefault="00E27BD4">
            <w:pPr>
              <w:jc w:val="center"/>
              <w:rPr>
                <w:rFonts w:eastAsia="標楷體"/>
              </w:rPr>
            </w:pPr>
            <w:r w:rsidRPr="00AE0D77">
              <w:rPr>
                <w:rFonts w:eastAsia="標楷體"/>
              </w:rPr>
              <w:t>21.3</w:t>
            </w:r>
          </w:p>
        </w:tc>
        <w:tc>
          <w:tcPr>
            <w:tcW w:w="2888" w:type="dxa"/>
            <w:tcBorders>
              <w:top w:val="nil"/>
              <w:left w:val="single" w:sz="4" w:space="0" w:color="auto"/>
              <w:bottom w:val="single" w:sz="4" w:space="0" w:color="auto"/>
              <w:right w:val="nil"/>
            </w:tcBorders>
            <w:hideMark/>
          </w:tcPr>
          <w:p w:rsidR="00E27BD4" w:rsidRPr="00AE0D77" w:rsidRDefault="00E27BD4">
            <w:pPr>
              <w:jc w:val="center"/>
              <w:rPr>
                <w:rFonts w:eastAsia="標楷體"/>
              </w:rPr>
            </w:pPr>
            <w:r w:rsidRPr="00AE0D77">
              <w:rPr>
                <w:rFonts w:eastAsia="標楷體"/>
              </w:rPr>
              <w:t>19.2</w:t>
            </w:r>
          </w:p>
        </w:tc>
      </w:tr>
    </w:tbl>
    <w:p w:rsidR="003F3F99" w:rsidRPr="00AE0D77" w:rsidRDefault="00F67965" w:rsidP="00AD2585">
      <w:pPr>
        <w:widowControl/>
        <w:snapToGrid w:val="0"/>
        <w:spacing w:line="240" w:lineRule="atLeast"/>
        <w:ind w:leftChars="177" w:left="425" w:firstLine="1"/>
        <w:rPr>
          <w:rFonts w:eastAsia="標楷體"/>
          <w:kern w:val="0"/>
          <w:sz w:val="22"/>
          <w:szCs w:val="22"/>
        </w:rPr>
      </w:pPr>
      <w:r w:rsidRPr="00AE0D77">
        <w:rPr>
          <w:rFonts w:eastAsia="標楷體"/>
          <w:kern w:val="0"/>
          <w:sz w:val="22"/>
          <w:szCs w:val="22"/>
        </w:rPr>
        <w:t>資料來源：經濟部統計處。</w:t>
      </w:r>
    </w:p>
    <w:p w:rsidR="003F3F99" w:rsidRPr="00AE0D77" w:rsidRDefault="003F3F99" w:rsidP="003F3F99">
      <w:pPr>
        <w:widowControl/>
        <w:rPr>
          <w:rFonts w:eastAsia="標楷體"/>
          <w:kern w:val="0"/>
          <w:sz w:val="22"/>
          <w:szCs w:val="22"/>
        </w:rPr>
      </w:pPr>
      <w:r w:rsidRPr="00AE0D77">
        <w:rPr>
          <w:rFonts w:eastAsia="標楷體"/>
          <w:sz w:val="22"/>
          <w:szCs w:val="22"/>
        </w:rPr>
        <w:br w:type="page"/>
      </w:r>
    </w:p>
    <w:p w:rsidR="000F332D" w:rsidRPr="00AE0D77" w:rsidRDefault="000F332D" w:rsidP="00CE6F96">
      <w:pPr>
        <w:pStyle w:val="t-3"/>
        <w:snapToGrid w:val="0"/>
        <w:spacing w:beforeLines="50" w:before="180"/>
        <w:ind w:right="-60"/>
      </w:pPr>
      <w:bookmarkStart w:id="105" w:name="_Toc401923799"/>
      <w:bookmarkStart w:id="106" w:name="_Toc402171716"/>
      <w:bookmarkStart w:id="107" w:name="_Toc486347634"/>
      <w:r w:rsidRPr="00AE0D77">
        <w:t>（六）投資</w:t>
      </w:r>
      <w:bookmarkEnd w:id="105"/>
      <w:bookmarkEnd w:id="106"/>
      <w:bookmarkEnd w:id="107"/>
    </w:p>
    <w:p w:rsidR="0050265C" w:rsidRPr="00AE0D77" w:rsidRDefault="0050265C" w:rsidP="0050265C">
      <w:pPr>
        <w:pStyle w:val="k3a"/>
        <w:tabs>
          <w:tab w:val="left" w:pos="540"/>
        </w:tabs>
        <w:spacing w:before="180" w:line="288" w:lineRule="auto"/>
        <w:ind w:leftChars="0" w:left="0" w:right="0" w:firstLineChars="0" w:firstLine="0"/>
        <w:rPr>
          <w:b/>
          <w:bCs/>
        </w:rPr>
      </w:pPr>
      <w:r w:rsidRPr="00AE0D77">
        <w:rPr>
          <w:b/>
          <w:bCs/>
        </w:rPr>
        <w:t>１、</w:t>
      </w:r>
      <w:r w:rsidR="009F5FDA" w:rsidRPr="00AE0D77">
        <w:rPr>
          <w:b/>
          <w:bCs/>
        </w:rPr>
        <w:t>106</w:t>
      </w:r>
      <w:r w:rsidR="009F5FDA" w:rsidRPr="00AE0D77">
        <w:rPr>
          <w:b/>
          <w:bCs/>
        </w:rPr>
        <w:t>年國內投資成長率預估為</w:t>
      </w:r>
      <w:r w:rsidR="009F5FDA" w:rsidRPr="00AE0D77">
        <w:rPr>
          <w:b/>
          <w:bCs/>
        </w:rPr>
        <w:t>2.30%</w:t>
      </w:r>
    </w:p>
    <w:p w:rsidR="009F5FDA" w:rsidRPr="00AE0D77" w:rsidRDefault="009F5FDA" w:rsidP="009F5FDA">
      <w:pPr>
        <w:numPr>
          <w:ilvl w:val="0"/>
          <w:numId w:val="26"/>
        </w:numPr>
        <w:snapToGrid w:val="0"/>
        <w:spacing w:before="180" w:line="300" w:lineRule="auto"/>
        <w:ind w:left="709" w:rightChars="-59" w:right="-142" w:hanging="425"/>
        <w:jc w:val="both"/>
        <w:rPr>
          <w:rFonts w:eastAsia="標楷體"/>
          <w:sz w:val="28"/>
          <w:szCs w:val="28"/>
        </w:rPr>
      </w:pPr>
      <w:r w:rsidRPr="00AE0D77">
        <w:rPr>
          <w:rFonts w:eastAsia="標楷體"/>
          <w:sz w:val="28"/>
          <w:szCs w:val="28"/>
        </w:rPr>
        <w:t>民間投資方面，為維持製程領先優勢及因應智慧化應用等商機，國內半導體及相關供應鏈業者高階製程投資可望續增，加上政府積極改善投資環境與落實各項創新發展計畫，以及房市降溫趨勢轉緩，預測</w:t>
      </w:r>
      <w:r w:rsidRPr="00AE0D77">
        <w:rPr>
          <w:rFonts w:eastAsia="標楷體"/>
          <w:sz w:val="28"/>
          <w:szCs w:val="28"/>
        </w:rPr>
        <w:t>106</w:t>
      </w:r>
      <w:r w:rsidRPr="00AE0D77">
        <w:rPr>
          <w:rFonts w:eastAsia="標楷體"/>
          <w:sz w:val="28"/>
          <w:szCs w:val="28"/>
        </w:rPr>
        <w:t>年民間投資實質成長</w:t>
      </w:r>
      <w:r w:rsidRPr="00AE0D77">
        <w:rPr>
          <w:rFonts w:eastAsia="標楷體"/>
          <w:sz w:val="28"/>
          <w:szCs w:val="28"/>
        </w:rPr>
        <w:t>1.95%</w:t>
      </w:r>
      <w:r w:rsidRPr="00AE0D77">
        <w:rPr>
          <w:rFonts w:eastAsia="標楷體"/>
          <w:sz w:val="28"/>
          <w:szCs w:val="28"/>
        </w:rPr>
        <w:t>。</w:t>
      </w:r>
    </w:p>
    <w:p w:rsidR="009F5FDA" w:rsidRPr="00AE0D77" w:rsidRDefault="009F5FDA" w:rsidP="009F5FDA">
      <w:pPr>
        <w:numPr>
          <w:ilvl w:val="0"/>
          <w:numId w:val="26"/>
        </w:numPr>
        <w:snapToGrid w:val="0"/>
        <w:spacing w:before="180" w:line="300" w:lineRule="auto"/>
        <w:ind w:left="714" w:rightChars="-59" w:right="-142" w:hanging="430"/>
        <w:jc w:val="both"/>
        <w:rPr>
          <w:rFonts w:eastAsia="標楷體"/>
          <w:sz w:val="28"/>
          <w:szCs w:val="28"/>
        </w:rPr>
      </w:pPr>
      <w:r w:rsidRPr="00AE0D77">
        <w:rPr>
          <w:rFonts w:eastAsia="標楷體"/>
          <w:sz w:val="28"/>
          <w:szCs w:val="28"/>
        </w:rPr>
        <w:t>公共投資方面，政府積極加強建設，並落實預算執行，預估</w:t>
      </w:r>
      <w:r w:rsidRPr="00AE0D77">
        <w:rPr>
          <w:rFonts w:eastAsia="標楷體"/>
          <w:sz w:val="28"/>
          <w:szCs w:val="28"/>
        </w:rPr>
        <w:t>106</w:t>
      </w:r>
      <w:r w:rsidRPr="00AE0D77">
        <w:rPr>
          <w:rFonts w:eastAsia="標楷體"/>
          <w:sz w:val="28"/>
          <w:szCs w:val="28"/>
        </w:rPr>
        <w:t>年政府及公營事業投資分別實質成長</w:t>
      </w:r>
      <w:r w:rsidRPr="00AE0D77">
        <w:rPr>
          <w:rFonts w:eastAsia="標楷體"/>
          <w:sz w:val="28"/>
          <w:szCs w:val="28"/>
        </w:rPr>
        <w:t>2.99%</w:t>
      </w:r>
      <w:r w:rsidRPr="00AE0D77">
        <w:rPr>
          <w:rFonts w:eastAsia="標楷體"/>
          <w:sz w:val="28"/>
          <w:szCs w:val="28"/>
        </w:rPr>
        <w:t>及</w:t>
      </w:r>
      <w:r w:rsidRPr="00AE0D77">
        <w:rPr>
          <w:rFonts w:eastAsia="標楷體"/>
          <w:sz w:val="28"/>
          <w:szCs w:val="28"/>
        </w:rPr>
        <w:t>5.95%</w:t>
      </w:r>
      <w:r w:rsidRPr="00AE0D77">
        <w:rPr>
          <w:rFonts w:eastAsia="標楷體"/>
          <w:sz w:val="28"/>
          <w:szCs w:val="28"/>
        </w:rPr>
        <w:t>。</w:t>
      </w:r>
    </w:p>
    <w:p w:rsidR="0030313A" w:rsidRPr="00AE0D77" w:rsidRDefault="0030313A" w:rsidP="0030313A">
      <w:pPr>
        <w:snapToGrid w:val="0"/>
        <w:spacing w:before="120" w:line="300" w:lineRule="auto"/>
        <w:ind w:left="284" w:rightChars="-59" w:right="-142"/>
        <w:rPr>
          <w:rFonts w:eastAsia="標楷體"/>
          <w:sz w:val="28"/>
          <w:szCs w:val="28"/>
        </w:rPr>
      </w:pPr>
    </w:p>
    <w:p w:rsidR="0050265C" w:rsidRPr="00AE0D77" w:rsidRDefault="0050265C" w:rsidP="0050265C">
      <w:pPr>
        <w:snapToGrid w:val="0"/>
        <w:spacing w:beforeLines="50" w:before="180"/>
        <w:jc w:val="center"/>
        <w:rPr>
          <w:rFonts w:eastAsia="標楷體"/>
          <w:b/>
          <w:bCs/>
          <w:sz w:val="28"/>
        </w:rPr>
      </w:pPr>
      <w:r w:rsidRPr="00AE0D77">
        <w:rPr>
          <w:rFonts w:eastAsia="標楷體"/>
          <w:b/>
          <w:bCs/>
          <w:sz w:val="28"/>
        </w:rPr>
        <w:t>表</w:t>
      </w:r>
      <w:r w:rsidRPr="00AE0D77">
        <w:rPr>
          <w:rFonts w:eastAsia="標楷體"/>
          <w:b/>
          <w:bCs/>
          <w:sz w:val="28"/>
        </w:rPr>
        <w:t xml:space="preserve"> 2-6-1  </w:t>
      </w:r>
      <w:r w:rsidRPr="00AE0D77">
        <w:rPr>
          <w:rFonts w:eastAsia="標楷體"/>
          <w:b/>
          <w:bCs/>
          <w:sz w:val="28"/>
        </w:rPr>
        <w:t>國內固定資本形成毛額</w:t>
      </w:r>
    </w:p>
    <w:p w:rsidR="0050265C" w:rsidRPr="00AE0D77" w:rsidRDefault="0050265C" w:rsidP="0050265C">
      <w:pPr>
        <w:snapToGrid w:val="0"/>
        <w:spacing w:line="240" w:lineRule="atLeast"/>
        <w:ind w:rightChars="13" w:right="31"/>
        <w:jc w:val="right"/>
        <w:rPr>
          <w:rFonts w:eastAsia="標楷體"/>
          <w:b/>
          <w:bCs/>
        </w:rPr>
      </w:pPr>
      <w:r w:rsidRPr="00AE0D77">
        <w:rPr>
          <w:rFonts w:eastAsia="標楷體"/>
        </w:rPr>
        <w:t>單位：億元；</w:t>
      </w:r>
      <w:r w:rsidRPr="00AE0D77">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9F5FDA" w:rsidRPr="00AE0D77" w:rsidTr="00087024">
        <w:trPr>
          <w:cantSplit/>
          <w:trHeight w:val="341"/>
          <w:jc w:val="center"/>
        </w:trPr>
        <w:tc>
          <w:tcPr>
            <w:tcW w:w="1371" w:type="dxa"/>
            <w:vMerge w:val="restart"/>
            <w:tcBorders>
              <w:top w:val="single" w:sz="4" w:space="0" w:color="auto"/>
              <w:left w:val="nil"/>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745" w:type="dxa"/>
            <w:gridSpan w:val="2"/>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tabs>
                <w:tab w:val="left" w:pos="1590"/>
              </w:tabs>
              <w:snapToGrid w:val="0"/>
              <w:spacing w:line="300" w:lineRule="exact"/>
              <w:jc w:val="center"/>
              <w:rPr>
                <w:rFonts w:eastAsia="標楷體"/>
              </w:rPr>
            </w:pPr>
            <w:r w:rsidRPr="00AE0D77">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政府投資</w:t>
            </w:r>
          </w:p>
        </w:tc>
      </w:tr>
      <w:tr w:rsidR="009F5FDA" w:rsidRPr="00AE0D77" w:rsidTr="00087024">
        <w:trPr>
          <w:trHeight w:val="348"/>
          <w:jc w:val="center"/>
        </w:trPr>
        <w:tc>
          <w:tcPr>
            <w:tcW w:w="1371" w:type="dxa"/>
            <w:vMerge/>
            <w:tcBorders>
              <w:top w:val="single" w:sz="4" w:space="0" w:color="auto"/>
              <w:left w:val="nil"/>
              <w:bottom w:val="single" w:sz="4" w:space="0" w:color="auto"/>
              <w:right w:val="single" w:sz="4" w:space="0" w:color="auto"/>
            </w:tcBorders>
            <w:vAlign w:val="center"/>
            <w:hideMark/>
          </w:tcPr>
          <w:p w:rsidR="009F5FDA" w:rsidRPr="00AE0D77" w:rsidRDefault="009F5FDA" w:rsidP="00087024">
            <w:pPr>
              <w:widowControl/>
              <w:rPr>
                <w:rFonts w:eastAsia="標楷體"/>
              </w:rPr>
            </w:pPr>
          </w:p>
        </w:tc>
        <w:tc>
          <w:tcPr>
            <w:tcW w:w="839"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9F5FDA" w:rsidRPr="00AE0D77" w:rsidRDefault="009F5FDA" w:rsidP="00087024">
            <w:pPr>
              <w:snapToGrid w:val="0"/>
              <w:spacing w:line="300" w:lineRule="exact"/>
              <w:jc w:val="center"/>
              <w:rPr>
                <w:rFonts w:eastAsia="標楷體"/>
              </w:rPr>
            </w:pPr>
            <w:r w:rsidRPr="00AE0D77">
              <w:rPr>
                <w:rFonts w:eastAsia="標楷體"/>
              </w:rPr>
              <w:t>成長率</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snapToGrid w:val="0"/>
              <w:spacing w:line="240" w:lineRule="exact"/>
              <w:jc w:val="both"/>
              <w:rPr>
                <w:rFonts w:eastAsia="標楷體"/>
              </w:rPr>
            </w:pPr>
            <w:r w:rsidRPr="00AE0D77">
              <w:rPr>
                <w:rFonts w:eastAsia="標楷體"/>
                <w:b/>
                <w:bCs/>
              </w:rPr>
              <w:t>101</w:t>
            </w:r>
            <w:r w:rsidRPr="00AE0D77">
              <w:rPr>
                <w:rFonts w:eastAsia="標楷體"/>
                <w:b/>
                <w:bCs/>
              </w:rPr>
              <w:t>年</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32,821</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-2.61</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25,670</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-0.35</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2,041</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-7.42</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5,110</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bCs/>
              </w:rPr>
            </w:pPr>
            <w:r w:rsidRPr="00AE0D77">
              <w:rPr>
                <w:rFonts w:eastAsia="標楷體"/>
                <w:b/>
                <w:bCs/>
              </w:rPr>
              <w:t>-10.95</w:t>
            </w:r>
          </w:p>
        </w:tc>
      </w:tr>
      <w:tr w:rsidR="009F5FDA" w:rsidRPr="00AE0D77" w:rsidTr="00087024">
        <w:trPr>
          <w:trHeight w:val="370"/>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102</w:t>
            </w:r>
            <w:r w:rsidRPr="00AE0D77">
              <w:rPr>
                <w:rFonts w:eastAsia="標楷體"/>
                <w:b/>
                <w:snapToGrid w:val="0"/>
                <w:kern w:val="0"/>
              </w:rPr>
              <w:t>年</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33,787</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5.30</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26,859</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7.09</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2,004</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2.99</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4,925</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-2.79</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103</w:t>
            </w:r>
            <w:r w:rsidRPr="00AE0D77">
              <w:rPr>
                <w:rFonts w:eastAsia="標楷體"/>
                <w:b/>
                <w:snapToGrid w:val="0"/>
                <w:kern w:val="0"/>
              </w:rPr>
              <w:t>年</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34,938</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2.05</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28,207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3.58</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2,110</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4.95</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4,622</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-7.52</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104</w:t>
            </w:r>
            <w:r w:rsidRPr="00AE0D77">
              <w:rPr>
                <w:rFonts w:eastAsia="標楷體"/>
                <w:b/>
                <w:snapToGrid w:val="0"/>
                <w:kern w:val="0"/>
              </w:rPr>
              <w:t>年</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34,928</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1.64</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28,615</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2.97</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1,908</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-7.21</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4,405</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-2.41</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105</w:t>
            </w:r>
            <w:r w:rsidRPr="00AE0D77">
              <w:rPr>
                <w:rFonts w:eastAsia="標楷體"/>
                <w:b/>
                <w:snapToGrid w:val="0"/>
                <w:kern w:val="0"/>
              </w:rPr>
              <w:t>年</w:t>
            </w:r>
            <w:r w:rsidRPr="00AE0D77">
              <w:rPr>
                <w:rFonts w:eastAsia="標楷體"/>
                <w:b/>
                <w:snapToGrid w:val="0"/>
                <w:kern w:val="0"/>
              </w:rPr>
              <w:t>(p)</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35,939</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2.71</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29,598</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3.12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1,887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-1.93</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4,454</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1.72</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8,423</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-0.12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7,337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0.22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272</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-5.07</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814</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-1.70</w:t>
            </w:r>
          </w:p>
        </w:tc>
      </w:tr>
      <w:tr w:rsidR="009F5FDA" w:rsidRPr="00AE0D77" w:rsidTr="00087024">
        <w:trPr>
          <w:trHeight w:val="370"/>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8,648</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0.16</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7,144</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1.16</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484</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-2.50</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1,019</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-5.09</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(r)</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9,440</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3.66</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7,947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3.99</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401</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-6.39</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1,092</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4.65</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(p)</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9,428</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6.81</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7,170</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7.24</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729</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2.32</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1,528</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6.54</w:t>
            </w:r>
          </w:p>
        </w:tc>
      </w:tr>
      <w:tr w:rsidR="009F5FDA" w:rsidRPr="00AE0D77" w:rsidTr="00087024">
        <w:trPr>
          <w:trHeight w:val="370"/>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jc w:val="both"/>
              <w:rPr>
                <w:rFonts w:eastAsia="標楷體"/>
                <w:b/>
                <w:snapToGrid w:val="0"/>
                <w:kern w:val="0"/>
              </w:rPr>
            </w:pPr>
            <w:r w:rsidRPr="00AE0D77">
              <w:rPr>
                <w:rFonts w:eastAsia="標楷體"/>
                <w:b/>
                <w:snapToGrid w:val="0"/>
                <w:kern w:val="0"/>
              </w:rPr>
              <w:t>106</w:t>
            </w:r>
            <w:r w:rsidRPr="00AE0D77">
              <w:rPr>
                <w:rFonts w:eastAsia="標楷體"/>
                <w:b/>
                <w:snapToGrid w:val="0"/>
                <w:kern w:val="0"/>
              </w:rPr>
              <w:t>年</w:t>
            </w:r>
            <w:r w:rsidRPr="00AE0D77">
              <w:rPr>
                <w:rFonts w:eastAsia="標楷體"/>
                <w:b/>
                <w:snapToGrid w:val="0"/>
                <w:kern w:val="0"/>
              </w:rPr>
              <w:t>(f)</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36,751</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2.30</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30,187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1.95</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1,963</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5.95</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4,601</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b/>
              </w:rPr>
            </w:pPr>
            <w:r w:rsidRPr="00AE0D77">
              <w:rPr>
                <w:rFonts w:eastAsia="標楷體"/>
                <w:b/>
              </w:rPr>
              <w:t>2.99</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r w:rsidRPr="00AE0D77">
              <w:rPr>
                <w:rFonts w:eastAsia="標楷體"/>
                <w:snapToGrid w:val="0"/>
                <w:kern w:val="0"/>
              </w:rPr>
              <w:t>(p)</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8,785</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4.13</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7,586</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3.10</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318</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19.64</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881</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7.60</w:t>
            </w:r>
          </w:p>
        </w:tc>
      </w:tr>
      <w:tr w:rsidR="009F5FDA" w:rsidRPr="00AE0D77" w:rsidTr="00087024">
        <w:trPr>
          <w:trHeight w:val="355"/>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r w:rsidRPr="00AE0D77">
              <w:rPr>
                <w:rFonts w:eastAsia="標楷體"/>
                <w:snapToGrid w:val="0"/>
                <w:kern w:val="0"/>
              </w:rPr>
              <w:t>(f)</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8,870</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2.82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7,327</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2.89</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483</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1.23</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1,060</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2.99</w:t>
            </w:r>
          </w:p>
        </w:tc>
      </w:tr>
      <w:tr w:rsidR="009F5FDA" w:rsidRPr="00AE0D77" w:rsidTr="00087024">
        <w:trPr>
          <w:trHeight w:val="370"/>
          <w:jc w:val="center"/>
        </w:trPr>
        <w:tc>
          <w:tcPr>
            <w:tcW w:w="1371" w:type="dxa"/>
            <w:tcBorders>
              <w:top w:val="nil"/>
              <w:left w:val="nil"/>
              <w:bottom w:val="nil"/>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(f)</w:t>
            </w:r>
          </w:p>
        </w:tc>
        <w:tc>
          <w:tcPr>
            <w:tcW w:w="839" w:type="dxa"/>
            <w:tcBorders>
              <w:top w:val="nil"/>
              <w:left w:val="single" w:sz="4" w:space="0" w:color="auto"/>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9,594</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1.16</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8,063</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1.02</w:t>
            </w:r>
          </w:p>
        </w:tc>
        <w:tc>
          <w:tcPr>
            <w:tcW w:w="871"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413</w:t>
            </w:r>
          </w:p>
        </w:tc>
        <w:tc>
          <w:tcPr>
            <w:tcW w:w="942"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3.16</w:t>
            </w:r>
          </w:p>
        </w:tc>
        <w:tc>
          <w:tcPr>
            <w:tcW w:w="906"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1,118</w:t>
            </w:r>
          </w:p>
        </w:tc>
        <w:tc>
          <w:tcPr>
            <w:tcW w:w="974" w:type="dxa"/>
            <w:tcBorders>
              <w:top w:val="nil"/>
              <w:left w:val="nil"/>
              <w:bottom w:val="nil"/>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1.47</w:t>
            </w:r>
          </w:p>
        </w:tc>
      </w:tr>
      <w:tr w:rsidR="009F5FDA" w:rsidRPr="00AE0D77" w:rsidTr="00087024">
        <w:trPr>
          <w:trHeight w:val="370"/>
          <w:jc w:val="center"/>
        </w:trPr>
        <w:tc>
          <w:tcPr>
            <w:tcW w:w="1371" w:type="dxa"/>
            <w:tcBorders>
              <w:top w:val="nil"/>
              <w:left w:val="nil"/>
              <w:bottom w:val="single" w:sz="4" w:space="0" w:color="auto"/>
              <w:right w:val="single" w:sz="4" w:space="0" w:color="auto"/>
            </w:tcBorders>
            <w:vAlign w:val="center"/>
            <w:hideMark/>
          </w:tcPr>
          <w:p w:rsidR="009F5FDA" w:rsidRPr="00AE0D77" w:rsidRDefault="009F5FDA" w:rsidP="00087024">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(f)</w:t>
            </w:r>
          </w:p>
        </w:tc>
        <w:tc>
          <w:tcPr>
            <w:tcW w:w="839" w:type="dxa"/>
            <w:tcBorders>
              <w:top w:val="nil"/>
              <w:left w:val="single" w:sz="4" w:space="0" w:color="auto"/>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9,501</w:t>
            </w:r>
          </w:p>
        </w:tc>
        <w:tc>
          <w:tcPr>
            <w:tcW w:w="906"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1.36</w:t>
            </w:r>
          </w:p>
        </w:tc>
        <w:tc>
          <w:tcPr>
            <w:tcW w:w="871"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7,210</w:t>
            </w:r>
          </w:p>
        </w:tc>
        <w:tc>
          <w:tcPr>
            <w:tcW w:w="942"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0.89</w:t>
            </w:r>
          </w:p>
        </w:tc>
        <w:tc>
          <w:tcPr>
            <w:tcW w:w="871"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749</w:t>
            </w:r>
          </w:p>
        </w:tc>
        <w:tc>
          <w:tcPr>
            <w:tcW w:w="942"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5.57</w:t>
            </w:r>
          </w:p>
        </w:tc>
        <w:tc>
          <w:tcPr>
            <w:tcW w:w="906"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1,542</w:t>
            </w:r>
          </w:p>
        </w:tc>
        <w:tc>
          <w:tcPr>
            <w:tcW w:w="974" w:type="dxa"/>
            <w:tcBorders>
              <w:top w:val="nil"/>
              <w:left w:val="nil"/>
              <w:bottom w:val="single" w:sz="4" w:space="0" w:color="auto"/>
              <w:right w:val="nil"/>
            </w:tcBorders>
            <w:vAlign w:val="center"/>
            <w:hideMark/>
          </w:tcPr>
          <w:p w:rsidR="009F5FDA" w:rsidRPr="00AE0D77" w:rsidRDefault="009F5FDA" w:rsidP="00087024">
            <w:pPr>
              <w:snapToGrid w:val="0"/>
              <w:spacing w:line="240" w:lineRule="exact"/>
              <w:jc w:val="right"/>
              <w:rPr>
                <w:rFonts w:eastAsia="標楷體"/>
              </w:rPr>
            </w:pPr>
            <w:r w:rsidRPr="00AE0D77">
              <w:rPr>
                <w:rFonts w:eastAsia="標楷體"/>
              </w:rPr>
              <w:t>1.73</w:t>
            </w:r>
          </w:p>
        </w:tc>
      </w:tr>
    </w:tbl>
    <w:p w:rsidR="0050265C" w:rsidRPr="00AE0D77" w:rsidRDefault="0050265C" w:rsidP="0050265C">
      <w:pPr>
        <w:pStyle w:val="af"/>
        <w:snapToGrid w:val="0"/>
        <w:spacing w:line="240" w:lineRule="atLeast"/>
        <w:ind w:leftChars="0" w:left="0" w:firstLineChars="0" w:firstLine="0"/>
      </w:pPr>
      <w:r w:rsidRPr="00AE0D77">
        <w:t>註：金額為當期價格；</w:t>
      </w:r>
      <w:r w:rsidRPr="00AE0D77">
        <w:t>(r)</w:t>
      </w:r>
      <w:r w:rsidRPr="00AE0D77">
        <w:t>表修正數，</w:t>
      </w:r>
      <w:r w:rsidRPr="00AE0D77">
        <w:t>(p)</w:t>
      </w:r>
      <w:r w:rsidRPr="00AE0D77">
        <w:t>表初步統計數，</w:t>
      </w:r>
      <w:r w:rsidRPr="00AE0D77">
        <w:t>(f)</w:t>
      </w:r>
      <w:r w:rsidRPr="00AE0D77">
        <w:t>表預測數。</w:t>
      </w:r>
    </w:p>
    <w:p w:rsidR="0050265C" w:rsidRPr="00AE0D77" w:rsidRDefault="0050265C" w:rsidP="0050265C">
      <w:pPr>
        <w:pStyle w:val="af"/>
        <w:snapToGrid w:val="0"/>
        <w:spacing w:line="240" w:lineRule="atLeast"/>
        <w:ind w:leftChars="0" w:left="0" w:firstLineChars="0" w:firstLine="0"/>
      </w:pPr>
      <w:r w:rsidRPr="00AE0D77">
        <w:t>資料來源：</w:t>
      </w:r>
      <w:r w:rsidR="009F5FDA" w:rsidRPr="00AE0D77">
        <w:t>行政院主計總處，</w:t>
      </w:r>
      <w:r w:rsidR="009F5FDA" w:rsidRPr="00AE0D77">
        <w:t>106</w:t>
      </w:r>
      <w:r w:rsidR="009F5FDA" w:rsidRPr="00AE0D77">
        <w:t>年</w:t>
      </w:r>
      <w:r w:rsidR="009F5FDA" w:rsidRPr="00AE0D77">
        <w:t>5</w:t>
      </w:r>
      <w:r w:rsidR="009F5FDA" w:rsidRPr="00AE0D77">
        <w:t>月</w:t>
      </w:r>
      <w:r w:rsidR="009F5FDA" w:rsidRPr="00AE0D77">
        <w:t>26</w:t>
      </w:r>
      <w:r w:rsidR="009F5FDA" w:rsidRPr="00AE0D77">
        <w:t>日</w:t>
      </w:r>
      <w:r w:rsidRPr="00AE0D77">
        <w:t>。</w:t>
      </w:r>
    </w:p>
    <w:p w:rsidR="0050265C" w:rsidRPr="00AE0D77" w:rsidRDefault="0050265C" w:rsidP="0050265C">
      <w:pPr>
        <w:pStyle w:val="af"/>
        <w:snapToGrid w:val="0"/>
        <w:spacing w:line="240" w:lineRule="atLeast"/>
        <w:ind w:leftChars="0" w:left="0" w:firstLineChars="0" w:firstLine="0"/>
      </w:pPr>
    </w:p>
    <w:p w:rsidR="00440AB5" w:rsidRPr="00AE0D77" w:rsidRDefault="00440AB5" w:rsidP="0050265C">
      <w:pPr>
        <w:pStyle w:val="af"/>
        <w:snapToGrid w:val="0"/>
        <w:spacing w:line="240" w:lineRule="atLeast"/>
        <w:ind w:leftChars="0" w:left="0" w:firstLineChars="0" w:firstLine="0"/>
      </w:pPr>
    </w:p>
    <w:p w:rsidR="00440AB5" w:rsidRPr="00AE0D77" w:rsidRDefault="00440AB5" w:rsidP="0050265C">
      <w:pPr>
        <w:pStyle w:val="af"/>
        <w:snapToGrid w:val="0"/>
        <w:spacing w:line="240" w:lineRule="atLeast"/>
        <w:ind w:leftChars="0" w:left="0" w:firstLineChars="0" w:firstLine="0"/>
      </w:pPr>
    </w:p>
    <w:p w:rsidR="00633BA4" w:rsidRPr="00AE0D77" w:rsidRDefault="00633BA4" w:rsidP="00633BA4">
      <w:pPr>
        <w:pStyle w:val="af"/>
        <w:snapToGrid w:val="0"/>
        <w:spacing w:line="240" w:lineRule="atLeast"/>
        <w:ind w:leftChars="0" w:left="0" w:firstLineChars="0" w:firstLine="0"/>
      </w:pPr>
    </w:p>
    <w:p w:rsidR="00065001" w:rsidRPr="00AE0D77" w:rsidRDefault="00065001" w:rsidP="00633BA4">
      <w:pPr>
        <w:pStyle w:val="k3a"/>
        <w:tabs>
          <w:tab w:val="left" w:pos="540"/>
        </w:tabs>
        <w:spacing w:before="180" w:afterLines="50" w:after="180" w:line="300" w:lineRule="auto"/>
        <w:ind w:leftChars="0" w:left="0" w:rightChars="-136" w:right="-326" w:firstLineChars="0" w:firstLine="0"/>
        <w:rPr>
          <w:b/>
          <w:bCs/>
        </w:rPr>
      </w:pPr>
    </w:p>
    <w:p w:rsidR="009F5FDA" w:rsidRPr="00AE0D77" w:rsidRDefault="009F5FDA" w:rsidP="00633BA4">
      <w:pPr>
        <w:pStyle w:val="k3a"/>
        <w:tabs>
          <w:tab w:val="left" w:pos="540"/>
        </w:tabs>
        <w:spacing w:before="180" w:afterLines="50" w:after="180" w:line="300" w:lineRule="auto"/>
        <w:ind w:leftChars="0" w:left="0" w:rightChars="-136" w:right="-326" w:firstLineChars="0" w:firstLine="0"/>
        <w:rPr>
          <w:b/>
          <w:bCs/>
        </w:rPr>
      </w:pPr>
    </w:p>
    <w:p w:rsidR="00633BA4" w:rsidRPr="00AE0D77" w:rsidRDefault="00065001" w:rsidP="00633BA4">
      <w:pPr>
        <w:pStyle w:val="k3a"/>
        <w:tabs>
          <w:tab w:val="left" w:pos="540"/>
        </w:tabs>
        <w:spacing w:before="180" w:afterLines="50" w:after="180" w:line="300" w:lineRule="auto"/>
        <w:ind w:leftChars="0" w:left="0" w:rightChars="-136" w:right="-326" w:firstLineChars="0" w:firstLine="0"/>
        <w:rPr>
          <w:b/>
          <w:bCs/>
        </w:rPr>
      </w:pPr>
      <w:r w:rsidRPr="00AE0D77">
        <w:rPr>
          <w:b/>
          <w:bCs/>
        </w:rPr>
        <w:t>２</w:t>
      </w:r>
      <w:r w:rsidR="00633BA4" w:rsidRPr="00AE0D77">
        <w:rPr>
          <w:b/>
          <w:bCs/>
        </w:rPr>
        <w:t>、</w:t>
      </w:r>
      <w:r w:rsidR="00AD37B4" w:rsidRPr="00AE0D77">
        <w:rPr>
          <w:b/>
          <w:bCs/>
        </w:rPr>
        <w:t>10</w:t>
      </w:r>
      <w:r w:rsidR="00BC4DC8" w:rsidRPr="00AE0D77">
        <w:rPr>
          <w:b/>
          <w:bCs/>
        </w:rPr>
        <w:t>6</w:t>
      </w:r>
      <w:r w:rsidR="00AD37B4" w:rsidRPr="00AE0D77">
        <w:rPr>
          <w:b/>
          <w:bCs/>
        </w:rPr>
        <w:t>年</w:t>
      </w:r>
      <w:r w:rsidR="008064CF" w:rsidRPr="00AE0D77">
        <w:rPr>
          <w:b/>
          <w:bCs/>
        </w:rPr>
        <w:t>5</w:t>
      </w:r>
      <w:r w:rsidR="008064CF" w:rsidRPr="00AE0D77">
        <w:rPr>
          <w:b/>
          <w:bCs/>
        </w:rPr>
        <w:t>月僑外直接投資金額</w:t>
      </w:r>
      <w:r w:rsidR="00BC4DC8" w:rsidRPr="00AE0D77">
        <w:rPr>
          <w:b/>
          <w:bCs/>
        </w:rPr>
        <w:t>18.55</w:t>
      </w:r>
      <w:r w:rsidR="008064CF" w:rsidRPr="00AE0D77">
        <w:rPr>
          <w:b/>
          <w:bCs/>
        </w:rPr>
        <w:t>億美元，</w:t>
      </w:r>
      <w:r w:rsidR="00BC4DC8" w:rsidRPr="00AE0D77">
        <w:rPr>
          <w:b/>
          <w:bCs/>
        </w:rPr>
        <w:t>減少</w:t>
      </w:r>
      <w:r w:rsidR="00BC4DC8" w:rsidRPr="00AE0D77">
        <w:rPr>
          <w:b/>
          <w:bCs/>
        </w:rPr>
        <w:t>48</w:t>
      </w:r>
      <w:r w:rsidR="00C74597" w:rsidRPr="00AE0D77">
        <w:rPr>
          <w:b/>
          <w:bCs/>
        </w:rPr>
        <w:t>.25</w:t>
      </w:r>
      <w:r w:rsidR="008064CF" w:rsidRPr="00AE0D77">
        <w:rPr>
          <w:b/>
          <w:bCs/>
        </w:rPr>
        <w:t>%</w:t>
      </w:r>
    </w:p>
    <w:p w:rsidR="008064CF" w:rsidRPr="00AE0D77" w:rsidRDefault="008064CF" w:rsidP="001B6C9E">
      <w:pPr>
        <w:pStyle w:val="k32"/>
        <w:topLinePunct/>
        <w:ind w:left="0" w:rightChars="-59" w:firstLineChars="202" w:firstLine="566"/>
      </w:pPr>
      <w:r w:rsidRPr="00AE0D77">
        <w:t>10</w:t>
      </w:r>
      <w:r w:rsidR="00BC4DC8" w:rsidRPr="00AE0D77">
        <w:t>6</w:t>
      </w:r>
      <w:r w:rsidRPr="00AE0D77">
        <w:t>年</w:t>
      </w:r>
      <w:r w:rsidRPr="00AE0D77">
        <w:t>5</w:t>
      </w:r>
      <w:r w:rsidRPr="00AE0D77">
        <w:t>月核准僑外直接投資件數為</w:t>
      </w:r>
      <w:r w:rsidR="00BC4DC8" w:rsidRPr="00AE0D77">
        <w:t>269</w:t>
      </w:r>
      <w:r w:rsidRPr="00AE0D77">
        <w:t>件，核准投資金額</w:t>
      </w:r>
      <w:r w:rsidR="00BC4DC8" w:rsidRPr="00AE0D77">
        <w:t>18.55</w:t>
      </w:r>
      <w:r w:rsidRPr="00AE0D77">
        <w:t>億美元，較上年同月</w:t>
      </w:r>
      <w:r w:rsidR="00BC4DC8" w:rsidRPr="00AE0D77">
        <w:t>減少</w:t>
      </w:r>
      <w:r w:rsidR="00BC4DC8" w:rsidRPr="00AE0D77">
        <w:t>48</w:t>
      </w:r>
      <w:r w:rsidR="00C74597" w:rsidRPr="00AE0D77">
        <w:t>.25</w:t>
      </w:r>
      <w:r w:rsidRPr="00AE0D77">
        <w:t>%</w:t>
      </w:r>
      <w:r w:rsidR="00C658E7" w:rsidRPr="00AE0D77">
        <w:t>，</w:t>
      </w:r>
      <w:r w:rsidR="00164981" w:rsidRPr="00AE0D77">
        <w:t>主係</w:t>
      </w:r>
      <w:r w:rsidR="00164981" w:rsidRPr="00AE0D77">
        <w:t>105</w:t>
      </w:r>
      <w:r w:rsidR="00997F62" w:rsidRPr="00AE0D77">
        <w:t>年</w:t>
      </w:r>
      <w:r w:rsidR="00997F62" w:rsidRPr="00AE0D77">
        <w:t>5</w:t>
      </w:r>
      <w:r w:rsidR="00997F62" w:rsidRPr="00AE0D77">
        <w:t>月核准</w:t>
      </w:r>
      <w:r w:rsidR="00C658E7" w:rsidRPr="00AE0D77">
        <w:t>荷蘭商</w:t>
      </w:r>
      <w:r w:rsidR="00C658E7" w:rsidRPr="00AE0D77">
        <w:t xml:space="preserve"> MICRON TECHNOLOGY B.V.</w:t>
      </w:r>
      <w:r w:rsidR="00C658E7" w:rsidRPr="00AE0D77">
        <w:t>增資及併購投資</w:t>
      </w:r>
      <w:r w:rsidR="003D6E96" w:rsidRPr="00AE0D77">
        <w:t>案</w:t>
      </w:r>
      <w:r w:rsidR="00C658E7" w:rsidRPr="00AE0D77">
        <w:t>金額</w:t>
      </w:r>
      <w:r w:rsidR="00C658E7" w:rsidRPr="00AE0D77">
        <w:t>33.34</w:t>
      </w:r>
      <w:r w:rsidR="00C658E7" w:rsidRPr="00AE0D77">
        <w:t>億美元較大所致</w:t>
      </w:r>
      <w:r w:rsidRPr="00AE0D77">
        <w:t>。累計</w:t>
      </w:r>
      <w:r w:rsidRPr="00AE0D77">
        <w:t>1</w:t>
      </w:r>
      <w:r w:rsidRPr="00AE0D77">
        <w:t>至</w:t>
      </w:r>
      <w:r w:rsidRPr="00AE0D77">
        <w:t>5</w:t>
      </w:r>
      <w:r w:rsidRPr="00AE0D77">
        <w:t>月核准僑外直接投資件數為</w:t>
      </w:r>
      <w:r w:rsidRPr="00AE0D77">
        <w:t>1,</w:t>
      </w:r>
      <w:r w:rsidR="001B6C9E" w:rsidRPr="00AE0D77">
        <w:t>260</w:t>
      </w:r>
      <w:r w:rsidRPr="00AE0D77">
        <w:t>件，核准投資金額</w:t>
      </w:r>
      <w:r w:rsidR="001B6C9E" w:rsidRPr="00AE0D77">
        <w:t>33.16</w:t>
      </w:r>
      <w:r w:rsidRPr="00AE0D77">
        <w:t>億美元，較上年同期</w:t>
      </w:r>
      <w:r w:rsidR="001B6C9E" w:rsidRPr="00AE0D77">
        <w:t>減少</w:t>
      </w:r>
      <w:r w:rsidR="001B6C9E" w:rsidRPr="00AE0D77">
        <w:t>35.21</w:t>
      </w:r>
      <w:r w:rsidRPr="00AE0D77">
        <w:t>%</w:t>
      </w:r>
      <w:r w:rsidRPr="00AE0D77">
        <w:t>。若就地區觀之，以荷蘭</w:t>
      </w:r>
      <w:r w:rsidRPr="00AE0D77">
        <w:t>(</w:t>
      </w:r>
      <w:r w:rsidR="00164981" w:rsidRPr="00AE0D77">
        <w:t>49.6</w:t>
      </w:r>
      <w:r w:rsidRPr="00AE0D77">
        <w:t>%)</w:t>
      </w:r>
      <w:r w:rsidRPr="00AE0D77">
        <w:t>、加勒比海英國屬地</w:t>
      </w:r>
      <w:r w:rsidRPr="00AE0D77">
        <w:t>(</w:t>
      </w:r>
      <w:r w:rsidR="00164981" w:rsidRPr="00AE0D77">
        <w:t>19.98</w:t>
      </w:r>
      <w:r w:rsidRPr="00AE0D77">
        <w:t>%</w:t>
      </w:r>
      <w:r w:rsidRPr="00AE0D77">
        <w:t>，主要為英屬維京群島、英屬蓋曼群島</w:t>
      </w:r>
      <w:r w:rsidRPr="00AE0D77">
        <w:t>)</w:t>
      </w:r>
      <w:r w:rsidRPr="00AE0D77">
        <w:t>、</w:t>
      </w:r>
      <w:r w:rsidR="00164981" w:rsidRPr="00AE0D77">
        <w:t>日本</w:t>
      </w:r>
      <w:r w:rsidR="00164981" w:rsidRPr="00AE0D77">
        <w:t>(7.86</w:t>
      </w:r>
      <w:r w:rsidRPr="00AE0D77">
        <w:t>%)</w:t>
      </w:r>
      <w:r w:rsidRPr="00AE0D77">
        <w:t>、</w:t>
      </w:r>
      <w:r w:rsidR="00164981" w:rsidRPr="00AE0D77">
        <w:t>薩摩亞</w:t>
      </w:r>
      <w:r w:rsidR="00164981" w:rsidRPr="00AE0D77">
        <w:t>(4</w:t>
      </w:r>
      <w:r w:rsidRPr="00AE0D77">
        <w:t>%)</w:t>
      </w:r>
      <w:r w:rsidR="00164981" w:rsidRPr="00AE0D77">
        <w:t>及美國</w:t>
      </w:r>
      <w:r w:rsidR="00164981" w:rsidRPr="00AE0D77">
        <w:t>(3.96</w:t>
      </w:r>
      <w:r w:rsidRPr="00AE0D77">
        <w:t>%)</w:t>
      </w:r>
      <w:r w:rsidRPr="00AE0D77">
        <w:t>分居前</w:t>
      </w:r>
      <w:r w:rsidRPr="00AE0D77">
        <w:t>5</w:t>
      </w:r>
      <w:r w:rsidRPr="00AE0D77">
        <w:t>名，合計占</w:t>
      </w:r>
      <w:r w:rsidRPr="00AE0D77">
        <w:t>1</w:t>
      </w:r>
      <w:r w:rsidRPr="00AE0D77">
        <w:t>至</w:t>
      </w:r>
      <w:r w:rsidRPr="00AE0D77">
        <w:t>5</w:t>
      </w:r>
      <w:r w:rsidRPr="00AE0D77">
        <w:t>月僑外投資總額的</w:t>
      </w:r>
      <w:r w:rsidR="00164981" w:rsidRPr="00AE0D77">
        <w:t>85.4</w:t>
      </w:r>
      <w:r w:rsidRPr="00AE0D77">
        <w:t>%</w:t>
      </w:r>
      <w:r w:rsidRPr="00AE0D77">
        <w:t>；若就業別觀之，僑外投資以電子零組件製造業</w:t>
      </w:r>
      <w:r w:rsidRPr="00AE0D77">
        <w:t>(</w:t>
      </w:r>
      <w:r w:rsidR="00164981" w:rsidRPr="00AE0D77">
        <w:t>52.81</w:t>
      </w:r>
      <w:r w:rsidRPr="00AE0D77">
        <w:t>%)</w:t>
      </w:r>
      <w:r w:rsidRPr="00AE0D77">
        <w:t>、批發及零售業</w:t>
      </w:r>
      <w:r w:rsidRPr="00AE0D77">
        <w:t>(</w:t>
      </w:r>
      <w:r w:rsidR="00164981" w:rsidRPr="00AE0D77">
        <w:t>10.07</w:t>
      </w:r>
      <w:r w:rsidRPr="00AE0D77">
        <w:t>%)</w:t>
      </w:r>
      <w:r w:rsidRPr="00AE0D77">
        <w:t>、不動產業</w:t>
      </w:r>
      <w:r w:rsidRPr="00AE0D77">
        <w:t>(</w:t>
      </w:r>
      <w:r w:rsidR="00164981" w:rsidRPr="00AE0D77">
        <w:t>8.08</w:t>
      </w:r>
      <w:r w:rsidRPr="00AE0D77">
        <w:t>%)</w:t>
      </w:r>
      <w:r w:rsidR="00164981" w:rsidRPr="00AE0D77">
        <w:t>、</w:t>
      </w:r>
      <w:r w:rsidRPr="00AE0D77">
        <w:t>專業、科學及</w:t>
      </w:r>
      <w:r w:rsidR="00164981" w:rsidRPr="00AE0D77">
        <w:t>技術服務業</w:t>
      </w:r>
      <w:r w:rsidR="00164981" w:rsidRPr="00AE0D77">
        <w:t>(6.79%)</w:t>
      </w:r>
      <w:r w:rsidR="00164981" w:rsidRPr="00AE0D77">
        <w:t>及金融及保險業</w:t>
      </w:r>
      <w:r w:rsidR="00164981" w:rsidRPr="00AE0D77">
        <w:t>(5.34%)</w:t>
      </w:r>
      <w:r w:rsidRPr="00AE0D77">
        <w:t>分居前</w:t>
      </w:r>
      <w:r w:rsidRPr="00AE0D77">
        <w:t>5</w:t>
      </w:r>
      <w:r w:rsidRPr="00AE0D77">
        <w:t>名，合計占</w:t>
      </w:r>
      <w:r w:rsidRPr="00AE0D77">
        <w:t>1</w:t>
      </w:r>
      <w:r w:rsidRPr="00AE0D77">
        <w:t>至</w:t>
      </w:r>
      <w:r w:rsidRPr="00AE0D77">
        <w:t>5</w:t>
      </w:r>
      <w:r w:rsidRPr="00AE0D77">
        <w:t>月僑外投資總額的</w:t>
      </w:r>
      <w:r w:rsidR="00164981" w:rsidRPr="00AE0D77">
        <w:t>89.09</w:t>
      </w:r>
      <w:r w:rsidRPr="00AE0D77">
        <w:t>%</w:t>
      </w:r>
      <w:r w:rsidRPr="00AE0D77">
        <w:t>。</w:t>
      </w:r>
    </w:p>
    <w:p w:rsidR="008064CF" w:rsidRPr="00AE0D77" w:rsidRDefault="008064CF" w:rsidP="008064CF">
      <w:pPr>
        <w:pStyle w:val="k32"/>
        <w:topLinePunct/>
        <w:ind w:left="0" w:rightChars="-59" w:firstLineChars="202" w:firstLine="566"/>
      </w:pPr>
      <w:r w:rsidRPr="00AE0D77">
        <w:t>我國外人投資的方式除了僑外投資外，亦來自國內、外金融市場募集資金。依據金管會統計，</w:t>
      </w:r>
      <w:r w:rsidRPr="00AE0D77">
        <w:t>10</w:t>
      </w:r>
      <w:r w:rsidR="00881942" w:rsidRPr="00AE0D77">
        <w:t>6</w:t>
      </w:r>
      <w:r w:rsidRPr="00AE0D77">
        <w:t>年</w:t>
      </w:r>
      <w:r w:rsidRPr="00AE0D77">
        <w:t>5</w:t>
      </w:r>
      <w:r w:rsidRPr="00AE0D77">
        <w:t>月外資投資我國股市淨匯</w:t>
      </w:r>
      <w:r w:rsidR="00881942" w:rsidRPr="00AE0D77">
        <w:t>入</w:t>
      </w:r>
      <w:r w:rsidRPr="00AE0D77">
        <w:t>金額</w:t>
      </w:r>
      <w:r w:rsidR="00881942" w:rsidRPr="00AE0D77">
        <w:t>21.63</w:t>
      </w:r>
      <w:r w:rsidRPr="00AE0D77">
        <w:t>億美元；累計</w:t>
      </w:r>
      <w:r w:rsidRPr="00AE0D77">
        <w:t>1</w:t>
      </w:r>
      <w:r w:rsidRPr="00AE0D77">
        <w:t>至</w:t>
      </w:r>
      <w:r w:rsidRPr="00AE0D77">
        <w:t>5</w:t>
      </w:r>
      <w:r w:rsidRPr="00AE0D77">
        <w:t>月淨匯入</w:t>
      </w:r>
      <w:r w:rsidR="00881942" w:rsidRPr="00AE0D77">
        <w:t>127.16</w:t>
      </w:r>
      <w:r w:rsidRPr="00AE0D77">
        <w:t>億美元。</w:t>
      </w:r>
    </w:p>
    <w:p w:rsidR="0050265C" w:rsidRPr="00AE0D77" w:rsidRDefault="0050265C" w:rsidP="0050265C">
      <w:pPr>
        <w:pStyle w:val="k32"/>
        <w:topLinePunct/>
        <w:ind w:left="0" w:rightChars="-59" w:firstLineChars="202" w:firstLine="566"/>
      </w:pPr>
    </w:p>
    <w:p w:rsidR="00065001" w:rsidRPr="00AE0D77" w:rsidRDefault="00065001" w:rsidP="0050265C">
      <w:pPr>
        <w:pStyle w:val="k32"/>
        <w:topLinePunct/>
        <w:ind w:left="0" w:rightChars="-59" w:firstLineChars="202" w:firstLine="566"/>
      </w:pPr>
      <w:r w:rsidRPr="00AE0D77">
        <w:br w:type="page"/>
      </w:r>
    </w:p>
    <w:p w:rsidR="0050265C" w:rsidRPr="00AE0D77" w:rsidRDefault="0050265C" w:rsidP="0050265C">
      <w:pPr>
        <w:pStyle w:val="k32"/>
        <w:topLinePunct/>
        <w:ind w:left="0" w:rightChars="-59" w:firstLineChars="202" w:firstLine="566"/>
      </w:pPr>
    </w:p>
    <w:p w:rsidR="008064CF" w:rsidRPr="00AE0D77" w:rsidRDefault="008064CF" w:rsidP="008064CF">
      <w:pPr>
        <w:pStyle w:val="k32"/>
        <w:topLinePunct/>
        <w:ind w:left="0" w:rightChars="-59" w:firstLineChars="0" w:firstLine="0"/>
        <w:jc w:val="right"/>
      </w:pPr>
      <w:bookmarkStart w:id="108" w:name="_（七）物價"/>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bookmarkEnd w:id="108"/>
      <w:r w:rsidRPr="00AE0D77">
        <w:rPr>
          <w:b/>
          <w:bCs/>
        </w:rPr>
        <w:t>表</w:t>
      </w:r>
      <w:r w:rsidRPr="00AE0D77">
        <w:rPr>
          <w:b/>
          <w:bCs/>
        </w:rPr>
        <w:t xml:space="preserve"> 2-6-2  </w:t>
      </w:r>
      <w:r w:rsidRPr="00AE0D77">
        <w:rPr>
          <w:b/>
          <w:bCs/>
        </w:rPr>
        <w:t>外資投入概況</w:t>
      </w:r>
      <w:r w:rsidRPr="00AE0D77">
        <w:t xml:space="preserve">           </w:t>
      </w:r>
      <w:r w:rsidRPr="00AE0D77">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064CF" w:rsidRPr="00AE0D77" w:rsidTr="0099145A">
        <w:trPr>
          <w:tblHeader/>
          <w:jc w:val="center"/>
        </w:trPr>
        <w:tc>
          <w:tcPr>
            <w:tcW w:w="1681"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314"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僑外投資</w:t>
            </w:r>
          </w:p>
          <w:p w:rsidR="008064CF" w:rsidRPr="00AE0D77" w:rsidRDefault="008064CF" w:rsidP="0099145A">
            <w:pPr>
              <w:snapToGrid w:val="0"/>
              <w:spacing w:line="400" w:lineRule="exact"/>
              <w:jc w:val="center"/>
              <w:rPr>
                <w:rFonts w:eastAsia="標楷體"/>
              </w:rPr>
            </w:pPr>
            <w:r w:rsidRPr="00AE0D77">
              <w:rPr>
                <w:rFonts w:eastAsia="標楷體"/>
              </w:rPr>
              <w:t>總額</w:t>
            </w:r>
          </w:p>
        </w:tc>
        <w:tc>
          <w:tcPr>
            <w:tcW w:w="1788"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外資投入股市</w:t>
            </w:r>
          </w:p>
          <w:p w:rsidR="008064CF" w:rsidRPr="00AE0D77" w:rsidRDefault="008064CF" w:rsidP="0099145A">
            <w:pPr>
              <w:snapToGrid w:val="0"/>
              <w:spacing w:line="400" w:lineRule="exact"/>
              <w:jc w:val="center"/>
              <w:rPr>
                <w:rFonts w:eastAsia="標楷體"/>
              </w:rPr>
            </w:pPr>
            <w:r w:rsidRPr="00AE0D77">
              <w:rPr>
                <w:rFonts w:eastAsia="標楷體"/>
              </w:rPr>
              <w:t>匯入淨額</w:t>
            </w:r>
          </w:p>
        </w:tc>
        <w:tc>
          <w:tcPr>
            <w:tcW w:w="1782"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企業發行海外</w:t>
            </w:r>
          </w:p>
          <w:p w:rsidR="008064CF" w:rsidRPr="00AE0D77" w:rsidRDefault="008064CF" w:rsidP="0099145A">
            <w:pPr>
              <w:snapToGrid w:val="0"/>
              <w:spacing w:line="400" w:lineRule="exact"/>
              <w:jc w:val="center"/>
              <w:rPr>
                <w:rFonts w:eastAsia="標楷體"/>
              </w:rPr>
            </w:pPr>
            <w:r w:rsidRPr="00AE0D77">
              <w:rPr>
                <w:rFonts w:eastAsia="標楷體"/>
              </w:rPr>
              <w:t>存託憑證金額</w:t>
            </w:r>
          </w:p>
        </w:tc>
        <w:tc>
          <w:tcPr>
            <w:tcW w:w="1782" w:type="dxa"/>
            <w:tcBorders>
              <w:bottom w:val="single" w:sz="8" w:space="0" w:color="auto"/>
            </w:tcBorders>
          </w:tcPr>
          <w:p w:rsidR="008064CF" w:rsidRPr="00AE0D77" w:rsidRDefault="008064CF" w:rsidP="0099145A">
            <w:pPr>
              <w:snapToGrid w:val="0"/>
              <w:spacing w:line="400" w:lineRule="exact"/>
              <w:jc w:val="center"/>
              <w:rPr>
                <w:rFonts w:eastAsia="標楷體"/>
              </w:rPr>
            </w:pPr>
            <w:r w:rsidRPr="00AE0D77">
              <w:rPr>
                <w:rFonts w:eastAsia="標楷體"/>
              </w:rPr>
              <w:t>企業發行海外</w:t>
            </w:r>
          </w:p>
          <w:p w:rsidR="008064CF" w:rsidRPr="00AE0D77" w:rsidRDefault="008064CF" w:rsidP="0099145A">
            <w:pPr>
              <w:snapToGrid w:val="0"/>
              <w:spacing w:line="400" w:lineRule="exact"/>
              <w:jc w:val="center"/>
              <w:rPr>
                <w:rFonts w:eastAsia="標楷體"/>
              </w:rPr>
            </w:pPr>
            <w:r w:rsidRPr="00AE0D77">
              <w:rPr>
                <w:rFonts w:eastAsia="標楷體"/>
              </w:rPr>
              <w:t>公司債金額</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jc w:val="both"/>
              <w:rPr>
                <w:rFonts w:eastAsia="標楷體"/>
                <w:b/>
                <w:bCs/>
              </w:rPr>
            </w:pPr>
            <w:r w:rsidRPr="00AE0D77">
              <w:rPr>
                <w:rFonts w:eastAsia="標楷體"/>
                <w:b/>
                <w:bCs/>
              </w:rPr>
              <w:t xml:space="preserve"> 101</w:t>
            </w:r>
            <w:r w:rsidRPr="00AE0D77">
              <w:rPr>
                <w:rFonts w:eastAsia="標楷體"/>
                <w:b/>
                <w:bCs/>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bCs/>
              </w:rPr>
            </w:pPr>
            <w:r w:rsidRPr="00AE0D77">
              <w:rPr>
                <w:rFonts w:eastAsia="標楷體"/>
                <w:b/>
                <w:bCs/>
              </w:rPr>
              <w:t>55.59</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rPr>
            </w:pPr>
            <w:r w:rsidRPr="00AE0D77">
              <w:rPr>
                <w:rFonts w:eastAsia="標楷體"/>
                <w:b/>
              </w:rPr>
              <w:t>71.98</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bCs/>
              </w:rPr>
            </w:pPr>
            <w:r w:rsidRPr="00AE0D77">
              <w:rPr>
                <w:rFonts w:eastAsia="標楷體"/>
                <w:b/>
                <w:bCs/>
              </w:rPr>
              <w:t>10.61</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b/>
                <w:bCs/>
              </w:rPr>
            </w:pPr>
            <w:r w:rsidRPr="00AE0D77">
              <w:rPr>
                <w:rFonts w:eastAsia="標楷體"/>
                <w:b/>
                <w:bCs/>
              </w:rPr>
              <w:t>8.95</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ind w:rightChars="-3" w:right="-7" w:firstLineChars="50" w:firstLine="120"/>
              <w:rPr>
                <w:rFonts w:eastAsia="標楷體"/>
                <w:b/>
              </w:rPr>
            </w:pPr>
            <w:r w:rsidRPr="00AE0D77">
              <w:rPr>
                <w:rFonts w:eastAsia="標楷體"/>
                <w:b/>
              </w:rPr>
              <w:t>102</w:t>
            </w:r>
            <w:r w:rsidRPr="00AE0D77">
              <w:rPr>
                <w:rFonts w:eastAsia="標楷體"/>
                <w:b/>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rPr>
            </w:pPr>
            <w:r w:rsidRPr="00AE0D77">
              <w:rPr>
                <w:rFonts w:eastAsia="標楷體"/>
                <w:b/>
              </w:rPr>
              <w:t>49.33</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rPr>
            </w:pPr>
            <w:r w:rsidRPr="00AE0D77">
              <w:rPr>
                <w:rFonts w:eastAsia="標楷體"/>
                <w:b/>
              </w:rPr>
              <w:t>131.95</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bCs/>
              </w:rPr>
            </w:pPr>
            <w:r w:rsidRPr="00AE0D77">
              <w:rPr>
                <w:rFonts w:eastAsia="標楷體"/>
                <w:b/>
                <w:bCs/>
              </w:rPr>
              <w:t>6.24</w:t>
            </w:r>
          </w:p>
        </w:tc>
        <w:tc>
          <w:tcPr>
            <w:tcW w:w="1782" w:type="dxa"/>
            <w:tcBorders>
              <w:top w:val="nil"/>
              <w:left w:val="nil"/>
              <w:bottom w:val="nil"/>
            </w:tcBorders>
          </w:tcPr>
          <w:p w:rsidR="00AE7256" w:rsidRPr="00AE0D77" w:rsidRDefault="00AE7256" w:rsidP="00087024">
            <w:pPr>
              <w:tabs>
                <w:tab w:val="center" w:pos="572"/>
                <w:tab w:val="right" w:pos="1144"/>
              </w:tabs>
              <w:snapToGrid w:val="0"/>
              <w:spacing w:line="400" w:lineRule="exact"/>
              <w:ind w:rightChars="250" w:right="600"/>
              <w:jc w:val="right"/>
              <w:rPr>
                <w:rFonts w:eastAsia="標楷體"/>
                <w:b/>
                <w:bCs/>
              </w:rPr>
            </w:pPr>
            <w:r w:rsidRPr="00AE0D77">
              <w:rPr>
                <w:rFonts w:eastAsia="標楷體"/>
                <w:b/>
                <w:bCs/>
              </w:rPr>
              <w:t>10.20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jc w:val="both"/>
              <w:rPr>
                <w:rFonts w:eastAsia="標楷體"/>
                <w:b/>
                <w:bCs/>
              </w:rPr>
            </w:pPr>
            <w:r w:rsidRPr="00AE0D77">
              <w:rPr>
                <w:rFonts w:eastAsia="標楷體"/>
                <w:b/>
                <w:bCs/>
              </w:rPr>
              <w:t xml:space="preserve"> 103</w:t>
            </w:r>
            <w:r w:rsidRPr="00AE0D77">
              <w:rPr>
                <w:rFonts w:eastAsia="標楷體"/>
                <w:b/>
                <w:bCs/>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bCs/>
              </w:rPr>
            </w:pPr>
            <w:r w:rsidRPr="00AE0D77">
              <w:rPr>
                <w:rFonts w:eastAsia="標楷體"/>
                <w:b/>
                <w:bCs/>
              </w:rPr>
              <w:t>57.70</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bCs/>
              </w:rPr>
            </w:pPr>
            <w:r w:rsidRPr="00AE0D77">
              <w:rPr>
                <w:rFonts w:eastAsia="標楷體"/>
                <w:b/>
                <w:bCs/>
              </w:rPr>
              <w:t>160.41</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rPr>
            </w:pPr>
            <w:r w:rsidRPr="00AE0D77">
              <w:rPr>
                <w:rFonts w:eastAsia="標楷體"/>
                <w:b/>
              </w:rPr>
              <w:t>8.58</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b/>
              </w:rPr>
            </w:pPr>
            <w:r w:rsidRPr="00AE0D77">
              <w:rPr>
                <w:rFonts w:eastAsia="標楷體"/>
                <w:b/>
              </w:rPr>
              <w:t>7.82</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jc w:val="both"/>
              <w:rPr>
                <w:rFonts w:eastAsia="標楷體"/>
                <w:b/>
                <w:bCs/>
              </w:rPr>
            </w:pPr>
            <w:r w:rsidRPr="00AE0D77">
              <w:rPr>
                <w:rFonts w:eastAsia="標楷體"/>
                <w:b/>
                <w:bCs/>
              </w:rPr>
              <w:t xml:space="preserve"> 104</w:t>
            </w:r>
            <w:r w:rsidRPr="00AE0D77">
              <w:rPr>
                <w:rFonts w:eastAsia="標楷體"/>
                <w:b/>
                <w:bCs/>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bCs/>
              </w:rPr>
            </w:pPr>
            <w:r w:rsidRPr="00AE0D77">
              <w:rPr>
                <w:rFonts w:eastAsia="標楷體"/>
                <w:b/>
                <w:bCs/>
              </w:rPr>
              <w:t>47.97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bCs/>
              </w:rPr>
            </w:pPr>
            <w:r w:rsidRPr="00AE0D77">
              <w:rPr>
                <w:rFonts w:eastAsia="標楷體"/>
                <w:b/>
                <w:bCs/>
              </w:rPr>
              <w:t>14.03</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rPr>
            </w:pPr>
            <w:r w:rsidRPr="00AE0D77">
              <w:rPr>
                <w:rFonts w:eastAsia="標楷體"/>
                <w:b/>
              </w:rPr>
              <w:t>1.00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b/>
              </w:rPr>
            </w:pPr>
            <w:r w:rsidRPr="00AE0D77">
              <w:rPr>
                <w:rFonts w:eastAsia="標楷體"/>
                <w:b/>
              </w:rPr>
              <w:t>20.50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087024">
            <w:pPr>
              <w:snapToGrid w:val="0"/>
              <w:spacing w:line="400" w:lineRule="exact"/>
              <w:jc w:val="both"/>
              <w:rPr>
                <w:rFonts w:eastAsia="標楷體"/>
                <w:b/>
                <w:bCs/>
              </w:rPr>
            </w:pPr>
            <w:r w:rsidRPr="00AE0D77">
              <w:rPr>
                <w:rFonts w:eastAsia="標楷體"/>
                <w:b/>
                <w:bCs/>
              </w:rPr>
              <w:t xml:space="preserve"> 105</w:t>
            </w:r>
            <w:r w:rsidRPr="00AE0D77">
              <w:rPr>
                <w:rFonts w:eastAsia="標楷體"/>
                <w:b/>
                <w:bCs/>
              </w:rPr>
              <w:t>年</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b/>
                <w:bCs/>
              </w:rPr>
            </w:pPr>
            <w:r w:rsidRPr="00AE0D77">
              <w:rPr>
                <w:rFonts w:eastAsia="標楷體"/>
                <w:b/>
                <w:bCs/>
              </w:rPr>
              <w:t>110.37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b/>
                <w:bCs/>
              </w:rPr>
            </w:pPr>
            <w:r w:rsidRPr="00AE0D77">
              <w:rPr>
                <w:rFonts w:eastAsia="標楷體"/>
                <w:b/>
                <w:bCs/>
              </w:rPr>
              <w:t>55.53</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b/>
              </w:rPr>
            </w:pPr>
            <w:r w:rsidRPr="00AE0D77">
              <w:rPr>
                <w:rFonts w:eastAsia="標楷體"/>
                <w:b/>
              </w:rPr>
              <w:t>4.25</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b/>
              </w:rPr>
            </w:pPr>
            <w:r w:rsidRPr="00AE0D77">
              <w:rPr>
                <w:rFonts w:eastAsia="標楷體"/>
                <w:b/>
              </w:rPr>
              <w:t>11.20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5</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35.85</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-29.12</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6</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3.85</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40.53</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1.75</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7</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5.67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27.02</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8</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5.56</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4.64</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9</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34.57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0.25</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10</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2.07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-19.14</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4.25</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1.20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11</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3.42</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-32.85</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12</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4.04</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-19.48</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5.00</w:t>
            </w:r>
          </w:p>
        </w:tc>
      </w:tr>
      <w:tr w:rsidR="008064CF" w:rsidRPr="00AE0D77" w:rsidTr="0099145A">
        <w:trPr>
          <w:jc w:val="center"/>
        </w:trPr>
        <w:tc>
          <w:tcPr>
            <w:tcW w:w="1681" w:type="dxa"/>
            <w:tcBorders>
              <w:top w:val="nil"/>
              <w:bottom w:val="nil"/>
              <w:right w:val="single" w:sz="4" w:space="0" w:color="auto"/>
            </w:tcBorders>
          </w:tcPr>
          <w:p w:rsidR="008064CF" w:rsidRPr="00AE0D77" w:rsidRDefault="008064CF" w:rsidP="0099145A">
            <w:pPr>
              <w:snapToGrid w:val="0"/>
              <w:spacing w:line="400" w:lineRule="exact"/>
              <w:jc w:val="both"/>
              <w:rPr>
                <w:rFonts w:eastAsia="標楷體"/>
                <w:b/>
                <w:bCs/>
              </w:rPr>
            </w:pPr>
            <w:r w:rsidRPr="00AE0D77">
              <w:rPr>
                <w:rFonts w:eastAsia="標楷體"/>
                <w:b/>
                <w:bCs/>
              </w:rPr>
              <w:t xml:space="preserve"> 10</w:t>
            </w:r>
            <w:r w:rsidR="00AE7256" w:rsidRPr="00AE0D77">
              <w:rPr>
                <w:rFonts w:eastAsia="標楷體"/>
                <w:b/>
                <w:bCs/>
              </w:rPr>
              <w:t>6</w:t>
            </w:r>
            <w:r w:rsidRPr="00AE0D77">
              <w:rPr>
                <w:rFonts w:eastAsia="標楷體"/>
                <w:b/>
                <w:bCs/>
              </w:rPr>
              <w:t>年</w:t>
            </w:r>
            <w:r w:rsidRPr="00AE0D77">
              <w:rPr>
                <w:rFonts w:eastAsia="標楷體"/>
                <w:b/>
                <w:bCs/>
              </w:rPr>
              <w:t>1~5</w:t>
            </w:r>
            <w:r w:rsidRPr="00AE0D77">
              <w:rPr>
                <w:rFonts w:eastAsia="標楷體"/>
                <w:b/>
                <w:bCs/>
              </w:rPr>
              <w:t>月</w:t>
            </w:r>
          </w:p>
        </w:tc>
        <w:tc>
          <w:tcPr>
            <w:tcW w:w="1314" w:type="dxa"/>
            <w:tcBorders>
              <w:top w:val="nil"/>
              <w:left w:val="single" w:sz="4" w:space="0" w:color="auto"/>
              <w:bottom w:val="nil"/>
              <w:right w:val="nil"/>
            </w:tcBorders>
          </w:tcPr>
          <w:p w:rsidR="008064CF" w:rsidRPr="00AE0D77" w:rsidRDefault="00AE7256" w:rsidP="0099145A">
            <w:pPr>
              <w:snapToGrid w:val="0"/>
              <w:spacing w:line="400" w:lineRule="exact"/>
              <w:ind w:rightChars="100" w:right="240"/>
              <w:jc w:val="right"/>
              <w:rPr>
                <w:rFonts w:eastAsia="標楷體"/>
                <w:b/>
                <w:bCs/>
              </w:rPr>
            </w:pPr>
            <w:r w:rsidRPr="00AE0D77">
              <w:rPr>
                <w:rFonts w:eastAsia="標楷體"/>
                <w:b/>
                <w:bCs/>
              </w:rPr>
              <w:t>33.16</w:t>
            </w:r>
          </w:p>
        </w:tc>
        <w:tc>
          <w:tcPr>
            <w:tcW w:w="1788" w:type="dxa"/>
            <w:tcBorders>
              <w:top w:val="nil"/>
              <w:left w:val="nil"/>
              <w:bottom w:val="nil"/>
              <w:right w:val="nil"/>
            </w:tcBorders>
          </w:tcPr>
          <w:p w:rsidR="008064CF" w:rsidRPr="00AE0D77" w:rsidRDefault="008C7932" w:rsidP="0099145A">
            <w:pPr>
              <w:snapToGrid w:val="0"/>
              <w:spacing w:line="400" w:lineRule="exact"/>
              <w:ind w:rightChars="153" w:right="367"/>
              <w:jc w:val="right"/>
              <w:rPr>
                <w:rFonts w:eastAsia="標楷體"/>
                <w:b/>
                <w:bCs/>
              </w:rPr>
            </w:pPr>
            <w:r w:rsidRPr="00AE0D77">
              <w:rPr>
                <w:rFonts w:eastAsia="標楷體"/>
                <w:b/>
                <w:bCs/>
              </w:rPr>
              <w:t>127.16</w:t>
            </w:r>
          </w:p>
        </w:tc>
        <w:tc>
          <w:tcPr>
            <w:tcW w:w="1782" w:type="dxa"/>
            <w:tcBorders>
              <w:top w:val="nil"/>
              <w:left w:val="nil"/>
              <w:bottom w:val="nil"/>
              <w:right w:val="nil"/>
            </w:tcBorders>
            <w:vAlign w:val="bottom"/>
          </w:tcPr>
          <w:p w:rsidR="008064CF" w:rsidRPr="00AE0D77" w:rsidRDefault="00881942" w:rsidP="0099145A">
            <w:pPr>
              <w:tabs>
                <w:tab w:val="center" w:pos="572"/>
                <w:tab w:val="right" w:pos="1144"/>
              </w:tabs>
              <w:snapToGrid w:val="0"/>
              <w:spacing w:line="400" w:lineRule="exact"/>
              <w:ind w:rightChars="250" w:right="600"/>
              <w:jc w:val="right"/>
              <w:rPr>
                <w:rFonts w:eastAsia="標楷體"/>
                <w:b/>
              </w:rPr>
            </w:pPr>
            <w:r w:rsidRPr="00AE0D77">
              <w:rPr>
                <w:rFonts w:eastAsia="標楷體"/>
                <w:b/>
              </w:rPr>
              <w:t>4.92</w:t>
            </w:r>
          </w:p>
        </w:tc>
        <w:tc>
          <w:tcPr>
            <w:tcW w:w="1782" w:type="dxa"/>
            <w:tcBorders>
              <w:top w:val="nil"/>
              <w:left w:val="nil"/>
              <w:bottom w:val="nil"/>
            </w:tcBorders>
          </w:tcPr>
          <w:p w:rsidR="008064CF" w:rsidRPr="00AE0D77" w:rsidRDefault="00881942" w:rsidP="0099145A">
            <w:pPr>
              <w:snapToGrid w:val="0"/>
              <w:spacing w:line="400" w:lineRule="exact"/>
              <w:ind w:rightChars="250" w:right="600"/>
              <w:jc w:val="right"/>
              <w:rPr>
                <w:rFonts w:eastAsia="標楷體"/>
                <w:b/>
              </w:rPr>
            </w:pPr>
            <w:r w:rsidRPr="00AE0D77">
              <w:rPr>
                <w:rFonts w:eastAsia="標楷體"/>
                <w:b/>
              </w:rPr>
              <w:t>2.00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1</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3.67</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26.44</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2.00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2</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2.05</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33.17</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3</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5.22</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33.18</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0.62</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AE7256" w:rsidRPr="00AE0D77" w:rsidTr="0099145A">
        <w:trPr>
          <w:jc w:val="center"/>
        </w:trPr>
        <w:tc>
          <w:tcPr>
            <w:tcW w:w="1681" w:type="dxa"/>
            <w:tcBorders>
              <w:top w:val="nil"/>
              <w:bottom w:val="nil"/>
              <w:right w:val="single" w:sz="4" w:space="0" w:color="auto"/>
            </w:tcBorders>
          </w:tcPr>
          <w:p w:rsidR="00AE7256" w:rsidRPr="00AE0D77" w:rsidRDefault="00AE7256" w:rsidP="0099145A">
            <w:pPr>
              <w:snapToGrid w:val="0"/>
              <w:spacing w:line="400" w:lineRule="exact"/>
              <w:ind w:rightChars="150" w:right="360"/>
              <w:jc w:val="right"/>
              <w:rPr>
                <w:rFonts w:eastAsia="標楷體"/>
              </w:rPr>
            </w:pPr>
            <w:r w:rsidRPr="00AE0D77">
              <w:rPr>
                <w:rFonts w:eastAsia="標楷體"/>
              </w:rPr>
              <w:t>4</w:t>
            </w:r>
            <w:r w:rsidRPr="00AE0D77">
              <w:rPr>
                <w:rFonts w:eastAsia="標楷體"/>
              </w:rPr>
              <w:t>月</w:t>
            </w:r>
          </w:p>
        </w:tc>
        <w:tc>
          <w:tcPr>
            <w:tcW w:w="1314" w:type="dxa"/>
            <w:tcBorders>
              <w:top w:val="nil"/>
              <w:left w:val="single" w:sz="4" w:space="0" w:color="auto"/>
              <w:bottom w:val="nil"/>
              <w:right w:val="nil"/>
            </w:tcBorders>
          </w:tcPr>
          <w:p w:rsidR="00AE7256" w:rsidRPr="00AE0D77" w:rsidRDefault="00AE7256" w:rsidP="00087024">
            <w:pPr>
              <w:snapToGrid w:val="0"/>
              <w:spacing w:line="400" w:lineRule="exact"/>
              <w:ind w:rightChars="100" w:right="240"/>
              <w:jc w:val="right"/>
              <w:rPr>
                <w:rFonts w:eastAsia="標楷體"/>
              </w:rPr>
            </w:pPr>
            <w:r w:rsidRPr="00AE0D77">
              <w:rPr>
                <w:rFonts w:eastAsia="標楷體"/>
              </w:rPr>
              <w:t>3.68</w:t>
            </w:r>
          </w:p>
        </w:tc>
        <w:tc>
          <w:tcPr>
            <w:tcW w:w="1788" w:type="dxa"/>
            <w:tcBorders>
              <w:top w:val="nil"/>
              <w:left w:val="nil"/>
              <w:bottom w:val="nil"/>
              <w:right w:val="nil"/>
            </w:tcBorders>
          </w:tcPr>
          <w:p w:rsidR="00AE7256" w:rsidRPr="00AE0D77" w:rsidRDefault="00AE7256" w:rsidP="00087024">
            <w:pPr>
              <w:snapToGrid w:val="0"/>
              <w:spacing w:line="400" w:lineRule="exact"/>
              <w:ind w:rightChars="153" w:right="367"/>
              <w:jc w:val="right"/>
              <w:rPr>
                <w:rFonts w:eastAsia="標楷體"/>
              </w:rPr>
            </w:pPr>
            <w:r w:rsidRPr="00AE0D77">
              <w:rPr>
                <w:rFonts w:eastAsia="標楷體"/>
              </w:rPr>
              <w:t>12.74</w:t>
            </w:r>
          </w:p>
        </w:tc>
        <w:tc>
          <w:tcPr>
            <w:tcW w:w="1782" w:type="dxa"/>
            <w:tcBorders>
              <w:top w:val="nil"/>
              <w:left w:val="nil"/>
              <w:bottom w:val="nil"/>
              <w:right w:val="nil"/>
            </w:tcBorders>
            <w:vAlign w:val="bottom"/>
          </w:tcPr>
          <w:p w:rsidR="00AE7256" w:rsidRPr="00AE0D77" w:rsidRDefault="00AE7256" w:rsidP="00087024">
            <w:pPr>
              <w:tabs>
                <w:tab w:val="center" w:pos="572"/>
                <w:tab w:val="right" w:pos="1144"/>
              </w:tabs>
              <w:snapToGrid w:val="0"/>
              <w:spacing w:line="400" w:lineRule="exact"/>
              <w:ind w:rightChars="250" w:right="600"/>
              <w:jc w:val="right"/>
              <w:rPr>
                <w:rFonts w:eastAsia="標楷體"/>
              </w:rPr>
            </w:pPr>
            <w:r w:rsidRPr="00AE0D77">
              <w:rPr>
                <w:rFonts w:eastAsia="標楷體"/>
              </w:rPr>
              <w:t>4.30</w:t>
            </w:r>
          </w:p>
        </w:tc>
        <w:tc>
          <w:tcPr>
            <w:tcW w:w="1782" w:type="dxa"/>
            <w:tcBorders>
              <w:top w:val="nil"/>
              <w:left w:val="nil"/>
              <w:bottom w:val="nil"/>
            </w:tcBorders>
          </w:tcPr>
          <w:p w:rsidR="00AE7256" w:rsidRPr="00AE0D77" w:rsidRDefault="00AE7256" w:rsidP="00087024">
            <w:pPr>
              <w:snapToGrid w:val="0"/>
              <w:spacing w:line="400" w:lineRule="exact"/>
              <w:ind w:rightChars="250" w:right="600"/>
              <w:jc w:val="right"/>
              <w:rPr>
                <w:rFonts w:eastAsia="標楷體"/>
              </w:rPr>
            </w:pPr>
            <w:r w:rsidRPr="00AE0D77">
              <w:rPr>
                <w:rFonts w:eastAsia="標楷體"/>
              </w:rPr>
              <w:t>0.00</w:t>
            </w:r>
          </w:p>
        </w:tc>
      </w:tr>
      <w:tr w:rsidR="008064CF" w:rsidRPr="00AE0D77" w:rsidTr="0099145A">
        <w:trPr>
          <w:jc w:val="center"/>
        </w:trPr>
        <w:tc>
          <w:tcPr>
            <w:tcW w:w="1681" w:type="dxa"/>
            <w:tcBorders>
              <w:top w:val="nil"/>
              <w:bottom w:val="single" w:sz="4" w:space="0" w:color="auto"/>
              <w:right w:val="single" w:sz="4" w:space="0" w:color="auto"/>
            </w:tcBorders>
          </w:tcPr>
          <w:p w:rsidR="008064CF" w:rsidRPr="00AE0D77" w:rsidRDefault="008064CF" w:rsidP="0099145A">
            <w:pPr>
              <w:snapToGrid w:val="0"/>
              <w:spacing w:line="400" w:lineRule="exact"/>
              <w:ind w:rightChars="150" w:right="360"/>
              <w:jc w:val="right"/>
              <w:rPr>
                <w:rFonts w:eastAsia="標楷體"/>
              </w:rPr>
            </w:pPr>
            <w:r w:rsidRPr="00AE0D77">
              <w:rPr>
                <w:rFonts w:eastAsia="標楷體"/>
              </w:rPr>
              <w:t>5</w:t>
            </w:r>
            <w:r w:rsidRPr="00AE0D77">
              <w:rPr>
                <w:rFonts w:eastAsia="標楷體"/>
              </w:rPr>
              <w:t>月</w:t>
            </w:r>
          </w:p>
        </w:tc>
        <w:tc>
          <w:tcPr>
            <w:tcW w:w="1314" w:type="dxa"/>
            <w:tcBorders>
              <w:top w:val="nil"/>
              <w:left w:val="single" w:sz="4" w:space="0" w:color="auto"/>
              <w:bottom w:val="single" w:sz="4" w:space="0" w:color="auto"/>
              <w:right w:val="nil"/>
            </w:tcBorders>
          </w:tcPr>
          <w:p w:rsidR="008064CF" w:rsidRPr="00AE0D77" w:rsidRDefault="00AE7256" w:rsidP="0099145A">
            <w:pPr>
              <w:snapToGrid w:val="0"/>
              <w:spacing w:line="400" w:lineRule="exact"/>
              <w:ind w:rightChars="100" w:right="240"/>
              <w:jc w:val="right"/>
              <w:rPr>
                <w:rFonts w:eastAsia="標楷體"/>
              </w:rPr>
            </w:pPr>
            <w:r w:rsidRPr="00AE0D77">
              <w:rPr>
                <w:rFonts w:eastAsia="標楷體"/>
              </w:rPr>
              <w:t>18.55</w:t>
            </w:r>
          </w:p>
        </w:tc>
        <w:tc>
          <w:tcPr>
            <w:tcW w:w="1788" w:type="dxa"/>
            <w:tcBorders>
              <w:top w:val="nil"/>
              <w:left w:val="nil"/>
              <w:bottom w:val="single" w:sz="4" w:space="0" w:color="auto"/>
              <w:right w:val="nil"/>
            </w:tcBorders>
          </w:tcPr>
          <w:p w:rsidR="008064CF" w:rsidRPr="00AE0D77" w:rsidRDefault="008C7932" w:rsidP="0099145A">
            <w:pPr>
              <w:snapToGrid w:val="0"/>
              <w:spacing w:line="400" w:lineRule="exact"/>
              <w:ind w:rightChars="153" w:right="367"/>
              <w:jc w:val="right"/>
              <w:rPr>
                <w:rFonts w:eastAsia="標楷體"/>
              </w:rPr>
            </w:pPr>
            <w:r w:rsidRPr="00AE0D77">
              <w:rPr>
                <w:rFonts w:eastAsia="標楷體"/>
              </w:rPr>
              <w:t>21.63</w:t>
            </w:r>
          </w:p>
        </w:tc>
        <w:tc>
          <w:tcPr>
            <w:tcW w:w="1782" w:type="dxa"/>
            <w:tcBorders>
              <w:top w:val="nil"/>
              <w:left w:val="nil"/>
              <w:bottom w:val="single" w:sz="4" w:space="0" w:color="auto"/>
              <w:right w:val="nil"/>
            </w:tcBorders>
            <w:vAlign w:val="bottom"/>
          </w:tcPr>
          <w:p w:rsidR="008064CF" w:rsidRPr="00AE0D77" w:rsidRDefault="008064CF" w:rsidP="0099145A">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single" w:sz="4" w:space="0" w:color="auto"/>
            </w:tcBorders>
          </w:tcPr>
          <w:p w:rsidR="008064CF" w:rsidRPr="00AE0D77" w:rsidRDefault="008064CF" w:rsidP="0099145A">
            <w:pPr>
              <w:snapToGrid w:val="0"/>
              <w:spacing w:line="400" w:lineRule="exact"/>
              <w:ind w:rightChars="250" w:right="600"/>
              <w:jc w:val="right"/>
              <w:rPr>
                <w:rFonts w:eastAsia="標楷體"/>
              </w:rPr>
            </w:pPr>
            <w:r w:rsidRPr="00AE0D77">
              <w:rPr>
                <w:rFonts w:eastAsia="標楷體"/>
              </w:rPr>
              <w:t>0.00</w:t>
            </w:r>
          </w:p>
        </w:tc>
      </w:tr>
    </w:tbl>
    <w:p w:rsidR="008064CF" w:rsidRPr="00AE0D77" w:rsidRDefault="008064CF" w:rsidP="008064CF">
      <w:pPr>
        <w:pStyle w:val="af"/>
        <w:snapToGrid w:val="0"/>
        <w:spacing w:line="240" w:lineRule="atLeast"/>
        <w:ind w:leftChars="0" w:left="0" w:firstLineChars="0" w:firstLine="0"/>
        <w:rPr>
          <w:szCs w:val="22"/>
        </w:rPr>
      </w:pPr>
      <w:r w:rsidRPr="00AE0D77">
        <w:rPr>
          <w:szCs w:val="22"/>
        </w:rPr>
        <w:t>資料來源：金管會、經濟部投審會。</w:t>
      </w: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pPr>
    </w:p>
    <w:p w:rsidR="001D5182" w:rsidRPr="00AE0D77" w:rsidRDefault="001D5182" w:rsidP="00276BD8">
      <w:pPr>
        <w:pStyle w:val="t-3"/>
        <w:snapToGrid w:val="0"/>
        <w:spacing w:beforeLines="50" w:before="180" w:line="300" w:lineRule="auto"/>
        <w:ind w:right="-60"/>
      </w:pPr>
      <w:bookmarkStart w:id="116" w:name="_Toc486347635"/>
      <w:r w:rsidRPr="00AE0D77">
        <w:t>（七）物價</w:t>
      </w:r>
      <w:bookmarkEnd w:id="109"/>
      <w:bookmarkEnd w:id="110"/>
      <w:bookmarkEnd w:id="111"/>
      <w:bookmarkEnd w:id="112"/>
      <w:bookmarkEnd w:id="113"/>
      <w:bookmarkEnd w:id="114"/>
      <w:bookmarkEnd w:id="115"/>
      <w:bookmarkEnd w:id="116"/>
    </w:p>
    <w:p w:rsidR="00423E42" w:rsidRPr="00AE0D77" w:rsidRDefault="00423E42" w:rsidP="00423E42">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AE0D77">
        <w:rPr>
          <w:b/>
          <w:bCs/>
        </w:rPr>
        <w:t>１、</w:t>
      </w:r>
      <w:r w:rsidRPr="00AE0D77">
        <w:rPr>
          <w:b/>
          <w:bCs/>
        </w:rPr>
        <w:t>10</w:t>
      </w:r>
      <w:r w:rsidR="00087024" w:rsidRPr="00AE0D77">
        <w:rPr>
          <w:b/>
          <w:bCs/>
        </w:rPr>
        <w:t>6</w:t>
      </w:r>
      <w:r w:rsidRPr="00AE0D77">
        <w:rPr>
          <w:b/>
          <w:bCs/>
        </w:rPr>
        <w:t>年</w:t>
      </w:r>
      <w:r w:rsidRPr="00AE0D77">
        <w:rPr>
          <w:b/>
          <w:bCs/>
        </w:rPr>
        <w:t>5</w:t>
      </w:r>
      <w:r w:rsidRPr="00AE0D77">
        <w:rPr>
          <w:b/>
          <w:bCs/>
        </w:rPr>
        <w:t>月</w:t>
      </w:r>
      <w:r w:rsidRPr="00AE0D77">
        <w:rPr>
          <w:b/>
          <w:bCs/>
        </w:rPr>
        <w:t>CPI</w:t>
      </w:r>
      <w:r w:rsidRPr="00AE0D77">
        <w:rPr>
          <w:b/>
          <w:bCs/>
        </w:rPr>
        <w:t>上漲</w:t>
      </w:r>
      <w:r w:rsidR="00087024" w:rsidRPr="00AE0D77">
        <w:rPr>
          <w:b/>
          <w:bCs/>
        </w:rPr>
        <w:t>0.59</w:t>
      </w:r>
      <w:r w:rsidRPr="00AE0D77">
        <w:rPr>
          <w:b/>
          <w:bCs/>
        </w:rPr>
        <w:t>%</w:t>
      </w:r>
      <w:r w:rsidRPr="00AE0D77">
        <w:rPr>
          <w:b/>
          <w:bCs/>
        </w:rPr>
        <w:t>，</w:t>
      </w:r>
      <w:r w:rsidRPr="00AE0D77">
        <w:rPr>
          <w:b/>
          <w:bCs/>
        </w:rPr>
        <w:t>WPI</w:t>
      </w:r>
      <w:r w:rsidRPr="00AE0D77">
        <w:rPr>
          <w:b/>
          <w:bCs/>
        </w:rPr>
        <w:t>下跌</w:t>
      </w:r>
      <w:r w:rsidR="00087024" w:rsidRPr="00AE0D77">
        <w:rPr>
          <w:b/>
          <w:bCs/>
        </w:rPr>
        <w:t>1.12</w:t>
      </w:r>
      <w:r w:rsidRPr="00AE0D77">
        <w:rPr>
          <w:b/>
          <w:bCs/>
        </w:rPr>
        <w:t>%</w:t>
      </w:r>
    </w:p>
    <w:p w:rsidR="00423E42" w:rsidRPr="00AE0D77" w:rsidRDefault="00423E42" w:rsidP="00423E42">
      <w:pPr>
        <w:pStyle w:val="k32"/>
        <w:topLinePunct/>
        <w:ind w:leftChars="118" w:left="283" w:rightChars="9" w:right="22" w:firstLineChars="211" w:firstLine="591"/>
        <w:rPr>
          <w:szCs w:val="28"/>
        </w:rPr>
      </w:pPr>
      <w:r w:rsidRPr="00AE0D77">
        <w:rPr>
          <w:szCs w:val="28"/>
        </w:rPr>
        <w:t>10</w:t>
      </w:r>
      <w:r w:rsidR="00087024" w:rsidRPr="00AE0D77">
        <w:rPr>
          <w:szCs w:val="28"/>
        </w:rPr>
        <w:t>6</w:t>
      </w:r>
      <w:r w:rsidRPr="00AE0D77">
        <w:rPr>
          <w:szCs w:val="28"/>
        </w:rPr>
        <w:t>年</w:t>
      </w:r>
      <w:r w:rsidRPr="00AE0D77">
        <w:rPr>
          <w:szCs w:val="28"/>
        </w:rPr>
        <w:t>5</w:t>
      </w:r>
      <w:r w:rsidRPr="00AE0D77">
        <w:rPr>
          <w:szCs w:val="28"/>
        </w:rPr>
        <w:t>月</w:t>
      </w:r>
      <w:r w:rsidRPr="00AE0D77">
        <w:rPr>
          <w:szCs w:val="28"/>
        </w:rPr>
        <w:t>CPI</w:t>
      </w:r>
      <w:r w:rsidRPr="00AE0D77">
        <w:rPr>
          <w:szCs w:val="28"/>
        </w:rPr>
        <w:t>較上年同月上漲</w:t>
      </w:r>
      <w:r w:rsidR="00087024" w:rsidRPr="00AE0D77">
        <w:rPr>
          <w:szCs w:val="28"/>
        </w:rPr>
        <w:t>0.59</w:t>
      </w:r>
      <w:r w:rsidRPr="00AE0D77">
        <w:rPr>
          <w:szCs w:val="28"/>
        </w:rPr>
        <w:t>%</w:t>
      </w:r>
      <w:r w:rsidRPr="00AE0D77">
        <w:rPr>
          <w:szCs w:val="28"/>
        </w:rPr>
        <w:t>，主因水產品</w:t>
      </w:r>
      <w:r w:rsidR="00087024" w:rsidRPr="00AE0D77">
        <w:rPr>
          <w:szCs w:val="28"/>
        </w:rPr>
        <w:t>、乳類</w:t>
      </w:r>
      <w:r w:rsidRPr="00AE0D77">
        <w:rPr>
          <w:szCs w:val="28"/>
        </w:rPr>
        <w:t>及肉類價格</w:t>
      </w:r>
      <w:r w:rsidR="00087024" w:rsidRPr="00AE0D77">
        <w:rPr>
          <w:szCs w:val="28"/>
        </w:rPr>
        <w:t>上揚</w:t>
      </w:r>
      <w:r w:rsidRPr="00AE0D77">
        <w:rPr>
          <w:szCs w:val="28"/>
        </w:rPr>
        <w:t>，加以燃氣、油料費</w:t>
      </w:r>
      <w:r w:rsidR="00087024" w:rsidRPr="00AE0D77">
        <w:rPr>
          <w:szCs w:val="28"/>
        </w:rPr>
        <w:t>、醫療費用及理容服務費價格調漲</w:t>
      </w:r>
      <w:r w:rsidRPr="00AE0D77">
        <w:rPr>
          <w:szCs w:val="28"/>
        </w:rPr>
        <w:t>，</w:t>
      </w:r>
      <w:r w:rsidR="00A32B82" w:rsidRPr="00AE0D77">
        <w:rPr>
          <w:szCs w:val="28"/>
        </w:rPr>
        <w:t>惟蔬菜、水果、通訊費及</w:t>
      </w:r>
      <w:r w:rsidRPr="00AE0D77">
        <w:rPr>
          <w:szCs w:val="28"/>
        </w:rPr>
        <w:t xml:space="preserve">3C </w:t>
      </w:r>
      <w:r w:rsidRPr="00AE0D77">
        <w:rPr>
          <w:szCs w:val="28"/>
        </w:rPr>
        <w:t>消費性電子產品價格較上年為低，抵銷部分漲幅</w:t>
      </w:r>
      <w:r w:rsidR="00A32B82" w:rsidRPr="00AE0D77">
        <w:rPr>
          <w:szCs w:val="28"/>
        </w:rPr>
        <w:t>；若扣除食物，上漲</w:t>
      </w:r>
      <w:r w:rsidRPr="00AE0D77">
        <w:rPr>
          <w:szCs w:val="28"/>
        </w:rPr>
        <w:t>0.</w:t>
      </w:r>
      <w:r w:rsidR="00A32B82" w:rsidRPr="00AE0D77">
        <w:rPr>
          <w:szCs w:val="28"/>
        </w:rPr>
        <w:t>85</w:t>
      </w:r>
      <w:r w:rsidRPr="00AE0D77">
        <w:rPr>
          <w:szCs w:val="28"/>
        </w:rPr>
        <w:t>%</w:t>
      </w:r>
      <w:r w:rsidRPr="00AE0D77">
        <w:rPr>
          <w:szCs w:val="28"/>
        </w:rPr>
        <w:t>，若剔除蔬果及能源後之總指數</w:t>
      </w:r>
      <w:r w:rsidRPr="00AE0D77">
        <w:rPr>
          <w:szCs w:val="28"/>
        </w:rPr>
        <w:t>(</w:t>
      </w:r>
      <w:r w:rsidRPr="00AE0D77">
        <w:rPr>
          <w:szCs w:val="28"/>
        </w:rPr>
        <w:t>即核心</w:t>
      </w:r>
      <w:r w:rsidRPr="00AE0D77">
        <w:rPr>
          <w:szCs w:val="28"/>
        </w:rPr>
        <w:t>CPI)</w:t>
      </w:r>
      <w:r w:rsidRPr="00AE0D77">
        <w:rPr>
          <w:szCs w:val="28"/>
        </w:rPr>
        <w:t>，則上漲</w:t>
      </w:r>
      <w:r w:rsidR="00A32B82" w:rsidRPr="00AE0D77">
        <w:rPr>
          <w:szCs w:val="28"/>
        </w:rPr>
        <w:t>1.11</w:t>
      </w:r>
      <w:r w:rsidRPr="00AE0D77">
        <w:rPr>
          <w:szCs w:val="28"/>
        </w:rPr>
        <w:t>%</w:t>
      </w:r>
      <w:r w:rsidRPr="00AE0D77">
        <w:rPr>
          <w:szCs w:val="28"/>
        </w:rPr>
        <w:t>。累計</w:t>
      </w:r>
      <w:r w:rsidRPr="00AE0D77">
        <w:rPr>
          <w:szCs w:val="28"/>
        </w:rPr>
        <w:t>1</w:t>
      </w:r>
      <w:r w:rsidRPr="00AE0D77">
        <w:rPr>
          <w:szCs w:val="28"/>
        </w:rPr>
        <w:t>至</w:t>
      </w:r>
      <w:r w:rsidRPr="00AE0D77">
        <w:rPr>
          <w:szCs w:val="28"/>
        </w:rPr>
        <w:t>5</w:t>
      </w:r>
      <w:r w:rsidRPr="00AE0D77">
        <w:rPr>
          <w:szCs w:val="28"/>
        </w:rPr>
        <w:t>月</w:t>
      </w:r>
      <w:r w:rsidRPr="00AE0D77">
        <w:rPr>
          <w:szCs w:val="28"/>
        </w:rPr>
        <w:t>CPI</w:t>
      </w:r>
      <w:r w:rsidRPr="00AE0D77">
        <w:rPr>
          <w:szCs w:val="28"/>
        </w:rPr>
        <w:t>較上年同期上漲</w:t>
      </w:r>
      <w:r w:rsidR="00A32B82" w:rsidRPr="00AE0D77">
        <w:rPr>
          <w:szCs w:val="28"/>
        </w:rPr>
        <w:t>0.60</w:t>
      </w:r>
      <w:r w:rsidRPr="00AE0D77">
        <w:rPr>
          <w:szCs w:val="28"/>
        </w:rPr>
        <w:t>%</w:t>
      </w:r>
      <w:r w:rsidRPr="00AE0D77">
        <w:rPr>
          <w:szCs w:val="28"/>
        </w:rPr>
        <w:t>。</w:t>
      </w:r>
    </w:p>
    <w:p w:rsidR="00423E42" w:rsidRPr="00AE0D77" w:rsidRDefault="00423E42" w:rsidP="00423E42">
      <w:pPr>
        <w:pStyle w:val="k32"/>
        <w:topLinePunct/>
        <w:ind w:leftChars="118" w:left="283" w:rightChars="9" w:right="22" w:firstLineChars="211" w:firstLine="591"/>
        <w:rPr>
          <w:szCs w:val="28"/>
        </w:rPr>
      </w:pPr>
      <w:r w:rsidRPr="00AE0D77">
        <w:rPr>
          <w:szCs w:val="28"/>
        </w:rPr>
        <w:t>10</w:t>
      </w:r>
      <w:r w:rsidR="00A32B82" w:rsidRPr="00AE0D77">
        <w:rPr>
          <w:szCs w:val="28"/>
        </w:rPr>
        <w:t>6</w:t>
      </w:r>
      <w:r w:rsidRPr="00AE0D77">
        <w:rPr>
          <w:szCs w:val="28"/>
        </w:rPr>
        <w:t>年</w:t>
      </w:r>
      <w:r w:rsidRPr="00AE0D77">
        <w:rPr>
          <w:szCs w:val="28"/>
        </w:rPr>
        <w:t>5</w:t>
      </w:r>
      <w:r w:rsidRPr="00AE0D77">
        <w:rPr>
          <w:szCs w:val="28"/>
        </w:rPr>
        <w:t>月</w:t>
      </w:r>
      <w:r w:rsidRPr="00AE0D77">
        <w:rPr>
          <w:szCs w:val="28"/>
        </w:rPr>
        <w:t>WPI</w:t>
      </w:r>
      <w:r w:rsidRPr="00AE0D77">
        <w:rPr>
          <w:szCs w:val="28"/>
        </w:rPr>
        <w:t>較上年同月下跌</w:t>
      </w:r>
      <w:r w:rsidR="00A32B82" w:rsidRPr="00AE0D77">
        <w:rPr>
          <w:szCs w:val="28"/>
        </w:rPr>
        <w:t>1.12</w:t>
      </w:r>
      <w:r w:rsidRPr="00AE0D77">
        <w:rPr>
          <w:szCs w:val="28"/>
        </w:rPr>
        <w:t>%</w:t>
      </w:r>
      <w:r w:rsidRPr="00AE0D77">
        <w:rPr>
          <w:szCs w:val="28"/>
        </w:rPr>
        <w:t>，累計</w:t>
      </w:r>
      <w:r w:rsidRPr="00AE0D77">
        <w:rPr>
          <w:szCs w:val="28"/>
        </w:rPr>
        <w:t>1</w:t>
      </w:r>
      <w:r w:rsidRPr="00AE0D77">
        <w:rPr>
          <w:szCs w:val="28"/>
        </w:rPr>
        <w:t>至</w:t>
      </w:r>
      <w:r w:rsidRPr="00AE0D77">
        <w:rPr>
          <w:szCs w:val="28"/>
        </w:rPr>
        <w:t>5</w:t>
      </w:r>
      <w:r w:rsidRPr="00AE0D77">
        <w:rPr>
          <w:szCs w:val="28"/>
        </w:rPr>
        <w:t>月</w:t>
      </w:r>
      <w:r w:rsidRPr="00AE0D77">
        <w:rPr>
          <w:szCs w:val="28"/>
        </w:rPr>
        <w:t>WPI</w:t>
      </w:r>
      <w:r w:rsidR="00A32B82" w:rsidRPr="00AE0D77">
        <w:rPr>
          <w:szCs w:val="28"/>
        </w:rPr>
        <w:t>較上年同期上漲</w:t>
      </w:r>
      <w:r w:rsidR="00A32B82" w:rsidRPr="00AE0D77">
        <w:rPr>
          <w:szCs w:val="28"/>
        </w:rPr>
        <w:t>1.36</w:t>
      </w:r>
      <w:r w:rsidRPr="00AE0D77">
        <w:rPr>
          <w:szCs w:val="28"/>
        </w:rPr>
        <w:t>%</w:t>
      </w:r>
      <w:r w:rsidRPr="00AE0D77">
        <w:rPr>
          <w:szCs w:val="28"/>
        </w:rPr>
        <w:t>。</w:t>
      </w:r>
    </w:p>
    <w:p w:rsidR="00423E42" w:rsidRPr="00AE0D77" w:rsidRDefault="00423E42" w:rsidP="00423E42">
      <w:pPr>
        <w:pStyle w:val="k3a"/>
        <w:tabs>
          <w:tab w:val="left" w:pos="540"/>
        </w:tabs>
        <w:spacing w:before="180" w:line="300" w:lineRule="auto"/>
        <w:ind w:leftChars="0" w:left="0" w:right="0" w:firstLineChars="0" w:firstLine="0"/>
        <w:rPr>
          <w:b/>
          <w:bCs/>
        </w:rPr>
      </w:pPr>
      <w:r w:rsidRPr="00AE0D77">
        <w:rPr>
          <w:b/>
          <w:bCs/>
        </w:rPr>
        <w:t>２、</w:t>
      </w:r>
      <w:r w:rsidRPr="00AE0D77">
        <w:rPr>
          <w:b/>
          <w:bCs/>
        </w:rPr>
        <w:t>10</w:t>
      </w:r>
      <w:r w:rsidR="000C6158" w:rsidRPr="00AE0D77">
        <w:rPr>
          <w:b/>
          <w:bCs/>
        </w:rPr>
        <w:t>6</w:t>
      </w:r>
      <w:r w:rsidRPr="00AE0D77">
        <w:rPr>
          <w:b/>
          <w:bCs/>
        </w:rPr>
        <w:t>年</w:t>
      </w:r>
      <w:r w:rsidRPr="00AE0D77">
        <w:rPr>
          <w:b/>
          <w:bCs/>
        </w:rPr>
        <w:t>5</w:t>
      </w:r>
      <w:r w:rsidRPr="00AE0D77">
        <w:rPr>
          <w:b/>
          <w:bCs/>
        </w:rPr>
        <w:t>月進口物價下跌</w:t>
      </w:r>
      <w:r w:rsidR="000C6158" w:rsidRPr="00AE0D77">
        <w:rPr>
          <w:b/>
          <w:bCs/>
        </w:rPr>
        <w:t>1.91</w:t>
      </w:r>
      <w:r w:rsidRPr="00AE0D77">
        <w:rPr>
          <w:b/>
          <w:bCs/>
        </w:rPr>
        <w:t>%</w:t>
      </w:r>
      <w:r w:rsidRPr="00AE0D77">
        <w:rPr>
          <w:b/>
          <w:bCs/>
        </w:rPr>
        <w:t>、出口物價下跌</w:t>
      </w:r>
      <w:r w:rsidR="00DC1B68" w:rsidRPr="00AE0D77">
        <w:rPr>
          <w:b/>
          <w:bCs/>
        </w:rPr>
        <w:t>3.38</w:t>
      </w:r>
      <w:r w:rsidRPr="00AE0D77">
        <w:rPr>
          <w:b/>
          <w:bCs/>
        </w:rPr>
        <w:t>%</w:t>
      </w:r>
    </w:p>
    <w:p w:rsidR="00423E42" w:rsidRPr="00AE0D77" w:rsidRDefault="00423E42" w:rsidP="00423E42">
      <w:pPr>
        <w:pStyle w:val="k32"/>
        <w:topLinePunct/>
        <w:ind w:leftChars="118" w:left="283" w:rightChars="9" w:right="22" w:firstLineChars="202" w:firstLine="566"/>
        <w:rPr>
          <w:szCs w:val="28"/>
        </w:rPr>
      </w:pPr>
      <w:r w:rsidRPr="00AE0D77">
        <w:t>10</w:t>
      </w:r>
      <w:r w:rsidR="000C6158" w:rsidRPr="00AE0D77">
        <w:t>6</w:t>
      </w:r>
      <w:r w:rsidRPr="00AE0D77">
        <w:t>年</w:t>
      </w:r>
      <w:r w:rsidRPr="00AE0D77">
        <w:t>5</w:t>
      </w:r>
      <w:r w:rsidR="000C6158" w:rsidRPr="00AE0D77">
        <w:t>月以新臺幣計價之進口物價指數，較上月下跌</w:t>
      </w:r>
      <w:r w:rsidR="000C6158" w:rsidRPr="00AE0D77">
        <w:t>1.86</w:t>
      </w:r>
      <w:r w:rsidRPr="00AE0D77">
        <w:t>%</w:t>
      </w:r>
      <w:r w:rsidRPr="00AE0D77">
        <w:t>，較上年同月下跌</w:t>
      </w:r>
      <w:r w:rsidR="000C6158" w:rsidRPr="00AE0D77">
        <w:t>1.91</w:t>
      </w:r>
      <w:r w:rsidRPr="00AE0D77">
        <w:t>%</w:t>
      </w:r>
      <w:r w:rsidRPr="00AE0D77">
        <w:t>，若剔除匯率變動因素</w:t>
      </w:r>
      <w:r w:rsidRPr="00AE0D77">
        <w:t>(</w:t>
      </w:r>
      <w:r w:rsidR="000C6158" w:rsidRPr="00AE0D77">
        <w:t>新臺幣對美元較上年同月升</w:t>
      </w:r>
      <w:r w:rsidRPr="00AE0D77">
        <w:t>值</w:t>
      </w:r>
      <w:r w:rsidR="000C6158" w:rsidRPr="00AE0D77">
        <w:t>8.02</w:t>
      </w:r>
      <w:r w:rsidRPr="00AE0D77">
        <w:t>%)</w:t>
      </w:r>
      <w:r w:rsidRPr="00AE0D77">
        <w:t>，</w:t>
      </w:r>
      <w:r w:rsidRPr="00AE0D77">
        <w:t>5</w:t>
      </w:r>
      <w:r w:rsidR="000C6158" w:rsidRPr="00AE0D77">
        <w:t>月以美元計價之指數較上年同月上漲</w:t>
      </w:r>
      <w:r w:rsidR="000C6158" w:rsidRPr="00AE0D77">
        <w:t>5.95</w:t>
      </w:r>
      <w:r w:rsidRPr="00AE0D77">
        <w:t>%</w:t>
      </w:r>
      <w:r w:rsidRPr="00AE0D77">
        <w:t>。主因礦產品類、</w:t>
      </w:r>
      <w:r w:rsidR="000C6158" w:rsidRPr="00AE0D77">
        <w:t>基本金屬及其製品類與</w:t>
      </w:r>
      <w:r w:rsidRPr="00AE0D77">
        <w:t>化學</w:t>
      </w:r>
      <w:r w:rsidR="000C6158" w:rsidRPr="00AE0D77">
        <w:t>或有關工業產品類</w:t>
      </w:r>
      <w:r w:rsidRPr="00AE0D77">
        <w:t>等報價</w:t>
      </w:r>
      <w:r w:rsidR="000C6158" w:rsidRPr="00AE0D77">
        <w:t>上漲</w:t>
      </w:r>
      <w:r w:rsidRPr="00AE0D77">
        <w:t>所致。</w:t>
      </w:r>
    </w:p>
    <w:p w:rsidR="00423E42" w:rsidRPr="00AE0D77" w:rsidRDefault="00423E42" w:rsidP="00423E42">
      <w:pPr>
        <w:pStyle w:val="k32"/>
        <w:topLinePunct/>
        <w:ind w:leftChars="118" w:left="283" w:rightChars="9" w:right="22" w:firstLineChars="202" w:firstLine="566"/>
        <w:rPr>
          <w:szCs w:val="28"/>
        </w:rPr>
      </w:pPr>
      <w:r w:rsidRPr="00AE0D77">
        <w:t>10</w:t>
      </w:r>
      <w:r w:rsidR="009711BB" w:rsidRPr="00AE0D77">
        <w:t>6</w:t>
      </w:r>
      <w:r w:rsidRPr="00AE0D77">
        <w:t>年</w:t>
      </w:r>
      <w:r w:rsidRPr="00AE0D77">
        <w:t>5</w:t>
      </w:r>
      <w:r w:rsidRPr="00AE0D77">
        <w:t>月以新臺幣計價之出口物價指數，較上月</w:t>
      </w:r>
      <w:r w:rsidR="009711BB" w:rsidRPr="00AE0D77">
        <w:t>下跌</w:t>
      </w:r>
      <w:r w:rsidR="009711BB" w:rsidRPr="00AE0D77">
        <w:t>1.12</w:t>
      </w:r>
      <w:r w:rsidRPr="00AE0D77">
        <w:t>%</w:t>
      </w:r>
      <w:r w:rsidRPr="00AE0D77">
        <w:t>，較上年同月下跌</w:t>
      </w:r>
      <w:r w:rsidR="009711BB" w:rsidRPr="00AE0D77">
        <w:t>3.38</w:t>
      </w:r>
      <w:r w:rsidRPr="00AE0D77">
        <w:t>%</w:t>
      </w:r>
      <w:r w:rsidRPr="00AE0D77">
        <w:t>，若剔除匯率變動因素，</w:t>
      </w:r>
      <w:r w:rsidRPr="00AE0D77">
        <w:t>5</w:t>
      </w:r>
      <w:r w:rsidRPr="00AE0D77">
        <w:t>月以美元計價之指數較上年同月</w:t>
      </w:r>
      <w:r w:rsidR="009711BB" w:rsidRPr="00AE0D77">
        <w:t>上漲</w:t>
      </w:r>
      <w:r w:rsidR="009711BB" w:rsidRPr="00AE0D77">
        <w:t>4.40</w:t>
      </w:r>
      <w:r w:rsidRPr="00AE0D77">
        <w:t>%</w:t>
      </w:r>
      <w:r w:rsidRPr="00AE0D77">
        <w:t>，</w:t>
      </w:r>
      <w:r w:rsidR="009711BB" w:rsidRPr="00AE0D77">
        <w:t>以礦產品類、基本金屬及其製品類，與塑、橡膠及其製品類等價格漲幅較大</w:t>
      </w:r>
      <w:r w:rsidRPr="00AE0D77">
        <w:t>。</w:t>
      </w:r>
    </w:p>
    <w:p w:rsidR="00423E42" w:rsidRPr="00AE0D77" w:rsidRDefault="00423E42" w:rsidP="00423E42">
      <w:pPr>
        <w:pStyle w:val="k32"/>
        <w:topLinePunct/>
        <w:ind w:leftChars="118" w:left="283" w:rightChars="9" w:right="22" w:firstLineChars="202" w:firstLine="566"/>
        <w:rPr>
          <w:szCs w:val="28"/>
        </w:rPr>
      </w:pPr>
    </w:p>
    <w:p w:rsidR="00423E42" w:rsidRPr="00AE0D77" w:rsidRDefault="00423E42" w:rsidP="00423E42">
      <w:pPr>
        <w:pStyle w:val="k32"/>
        <w:topLinePunct/>
        <w:ind w:leftChars="118" w:left="283" w:rightChars="9" w:right="22" w:firstLineChars="202" w:firstLine="566"/>
        <w:rPr>
          <w:szCs w:val="28"/>
        </w:rPr>
      </w:pPr>
    </w:p>
    <w:p w:rsidR="00423E42" w:rsidRPr="00AE0D77" w:rsidRDefault="00423E42" w:rsidP="00423E42">
      <w:pPr>
        <w:pStyle w:val="k32"/>
        <w:topLinePunct/>
        <w:ind w:leftChars="118" w:left="283" w:rightChars="9" w:right="22" w:firstLineChars="202" w:firstLine="558"/>
        <w:rPr>
          <w:spacing w:val="-2"/>
          <w:szCs w:val="28"/>
        </w:rPr>
      </w:pPr>
      <w:r w:rsidRPr="00AE0D77">
        <w:rPr>
          <w:spacing w:val="-2"/>
          <w:szCs w:val="28"/>
        </w:rPr>
        <w:t xml:space="preserve"> </w:t>
      </w:r>
    </w:p>
    <w:p w:rsidR="00423E42" w:rsidRPr="00AE0D77" w:rsidRDefault="00423E42" w:rsidP="00423E42">
      <w:pPr>
        <w:pStyle w:val="k32"/>
        <w:topLinePunct/>
        <w:ind w:leftChars="118" w:left="283" w:rightChars="9" w:right="22" w:firstLineChars="202" w:firstLine="566"/>
      </w:pPr>
      <w:r w:rsidRPr="00AE0D77">
        <w:t xml:space="preserve"> </w:t>
      </w:r>
    </w:p>
    <w:p w:rsidR="00423E42" w:rsidRPr="00AE0D77" w:rsidRDefault="00423E42" w:rsidP="00423E42">
      <w:pPr>
        <w:widowControl/>
        <w:rPr>
          <w:rFonts w:eastAsia="標楷體"/>
          <w:kern w:val="0"/>
          <w:sz w:val="28"/>
          <w:szCs w:val="20"/>
        </w:rPr>
      </w:pPr>
      <w:r w:rsidRPr="00AE0D77">
        <w:rPr>
          <w:rFonts w:eastAsia="標楷體"/>
        </w:rPr>
        <w:br w:type="page"/>
      </w:r>
    </w:p>
    <w:p w:rsidR="00423E42" w:rsidRPr="00AE0D77" w:rsidRDefault="00423E42" w:rsidP="00423E42">
      <w:pPr>
        <w:widowControl/>
        <w:jc w:val="center"/>
        <w:rPr>
          <w:rFonts w:eastAsia="標楷體"/>
          <w:b/>
          <w:bCs/>
          <w:sz w:val="28"/>
        </w:rPr>
      </w:pPr>
      <w:r w:rsidRPr="00AE0D77">
        <w:rPr>
          <w:rFonts w:eastAsia="標楷體"/>
          <w:b/>
          <w:bCs/>
          <w:sz w:val="28"/>
        </w:rPr>
        <w:t>圖</w:t>
      </w:r>
      <w:r w:rsidRPr="00AE0D77">
        <w:rPr>
          <w:rFonts w:eastAsia="標楷體"/>
          <w:b/>
          <w:bCs/>
          <w:sz w:val="28"/>
        </w:rPr>
        <w:t xml:space="preserve"> 2-7-1  </w:t>
      </w:r>
      <w:r w:rsidRPr="00AE0D77">
        <w:rPr>
          <w:rFonts w:eastAsia="標楷體"/>
          <w:b/>
          <w:bCs/>
          <w:sz w:val="28"/>
        </w:rPr>
        <w:t>消費者物價指數及躉售物價指數變化</w:t>
      </w:r>
    </w:p>
    <w:p w:rsidR="00423E42" w:rsidRPr="00AE0D77" w:rsidRDefault="00423E42" w:rsidP="00423E42">
      <w:pPr>
        <w:snapToGrid w:val="0"/>
        <w:spacing w:line="300" w:lineRule="auto"/>
        <w:ind w:rightChars="-59" w:right="-142"/>
        <w:jc w:val="center"/>
        <w:rPr>
          <w:rFonts w:eastAsia="標楷體"/>
          <w:b/>
          <w:snapToGrid w:val="0"/>
          <w:sz w:val="28"/>
        </w:rPr>
      </w:pPr>
      <w:r w:rsidRPr="00AE0D77">
        <w:rPr>
          <w:rFonts w:eastAsia="標楷體"/>
          <w:noProof/>
          <w:sz w:val="28"/>
        </w:rPr>
        <mc:AlternateContent>
          <mc:Choice Requires="wps">
            <w:drawing>
              <wp:anchor distT="0" distB="0" distL="114300" distR="114300" simplePos="0" relativeHeight="252439040" behindDoc="0" locked="0" layoutInCell="1" allowOverlap="1" wp14:anchorId="58B189D6" wp14:editId="2E01AAF7">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D5A67" w:rsidRDefault="006D5A67" w:rsidP="00423E42">
                            <w:pPr>
                              <w:spacing w:line="240" w:lineRule="exact"/>
                              <w:jc w:val="center"/>
                              <w:rPr>
                                <w:b/>
                              </w:rPr>
                            </w:pPr>
                            <w:r>
                              <w:rPr>
                                <w:rFonts w:hint="eastAsia"/>
                                <w:b/>
                              </w:rPr>
                              <w:t>WPI</w:t>
                            </w:r>
                          </w:p>
                          <w:p w:rsidR="006D5A67" w:rsidRPr="00BE0B3C" w:rsidRDefault="006D5A67" w:rsidP="00423E42">
                            <w:pPr>
                              <w:spacing w:line="240" w:lineRule="exact"/>
                              <w:jc w:val="center"/>
                              <w:rPr>
                                <w:b/>
                              </w:rPr>
                            </w:pPr>
                            <w:r>
                              <w:rPr>
                                <w:rFonts w:hint="eastAsia"/>
                                <w:b/>
                              </w:rPr>
                              <w:t>-1.12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6D5A67" w:rsidRDefault="006D5A67" w:rsidP="00423E42">
                      <w:pPr>
                        <w:spacing w:line="240" w:lineRule="exact"/>
                        <w:jc w:val="center"/>
                        <w:rPr>
                          <w:b/>
                        </w:rPr>
                      </w:pPr>
                      <w:r>
                        <w:rPr>
                          <w:rFonts w:hint="eastAsia"/>
                          <w:b/>
                        </w:rPr>
                        <w:t>WPI</w:t>
                      </w:r>
                    </w:p>
                    <w:p w:rsidR="006D5A67" w:rsidRPr="00BE0B3C" w:rsidRDefault="006D5A67" w:rsidP="00423E42">
                      <w:pPr>
                        <w:spacing w:line="240" w:lineRule="exact"/>
                        <w:jc w:val="center"/>
                        <w:rPr>
                          <w:b/>
                        </w:rPr>
                      </w:pPr>
                      <w:r>
                        <w:rPr>
                          <w:rFonts w:hint="eastAsia"/>
                          <w:b/>
                        </w:rPr>
                        <w:t>-1.12</w:t>
                      </w:r>
                    </w:p>
                  </w:txbxContent>
                </v:textbox>
              </v:shape>
            </w:pict>
          </mc:Fallback>
        </mc:AlternateContent>
      </w:r>
      <w:r w:rsidRPr="00AE0D77">
        <w:rPr>
          <w:rFonts w:eastAsia="標楷體"/>
          <w:noProof/>
          <w:sz w:val="28"/>
        </w:rPr>
        <mc:AlternateContent>
          <mc:Choice Requires="wps">
            <w:drawing>
              <wp:anchor distT="0" distB="0" distL="114300" distR="114300" simplePos="0" relativeHeight="252438016" behindDoc="0" locked="0" layoutInCell="1" allowOverlap="1" wp14:anchorId="11087F81" wp14:editId="0E102D11">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D5A67" w:rsidRPr="000B3D15" w:rsidRDefault="006D5A67" w:rsidP="00423E42">
                            <w:pPr>
                              <w:spacing w:line="260" w:lineRule="exact"/>
                              <w:jc w:val="center"/>
                              <w:rPr>
                                <w:b/>
                              </w:rPr>
                            </w:pPr>
                            <w:r w:rsidRPr="000B3D15">
                              <w:rPr>
                                <w:b/>
                              </w:rPr>
                              <w:t>CPI</w:t>
                            </w:r>
                          </w:p>
                          <w:p w:rsidR="006D5A67" w:rsidRPr="000B3D15" w:rsidRDefault="006D5A67" w:rsidP="00423E42">
                            <w:pPr>
                              <w:spacing w:line="260" w:lineRule="exact"/>
                              <w:jc w:val="center"/>
                              <w:rPr>
                                <w:b/>
                              </w:rPr>
                            </w:pPr>
                            <w:r>
                              <w:rPr>
                                <w:rFonts w:hint="eastAsia"/>
                                <w:b/>
                              </w:rPr>
                              <w:t>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6D5A67" w:rsidRPr="000B3D15" w:rsidRDefault="006D5A67" w:rsidP="00423E42">
                      <w:pPr>
                        <w:spacing w:line="260" w:lineRule="exact"/>
                        <w:jc w:val="center"/>
                        <w:rPr>
                          <w:b/>
                        </w:rPr>
                      </w:pPr>
                      <w:r w:rsidRPr="000B3D15">
                        <w:rPr>
                          <w:b/>
                        </w:rPr>
                        <w:t>CPI</w:t>
                      </w:r>
                    </w:p>
                    <w:p w:rsidR="006D5A67" w:rsidRPr="000B3D15" w:rsidRDefault="006D5A67" w:rsidP="00423E42">
                      <w:pPr>
                        <w:spacing w:line="260" w:lineRule="exact"/>
                        <w:jc w:val="center"/>
                        <w:rPr>
                          <w:b/>
                        </w:rPr>
                      </w:pPr>
                      <w:r>
                        <w:rPr>
                          <w:rFonts w:hint="eastAsia"/>
                          <w:b/>
                        </w:rPr>
                        <w:t>0.59</w:t>
                      </w:r>
                    </w:p>
                  </w:txbxContent>
                </v:textbox>
              </v:shape>
            </w:pict>
          </mc:Fallback>
        </mc:AlternateContent>
      </w:r>
      <w:r w:rsidR="00FC4180" w:rsidRPr="00AE0D77">
        <w:rPr>
          <w:rFonts w:eastAsia="標楷體"/>
          <w:noProof/>
        </w:rPr>
        <w:drawing>
          <wp:inline distT="0" distB="0" distL="0" distR="0" wp14:anchorId="1D9D974E" wp14:editId="41C252AB">
            <wp:extent cx="5400040" cy="2281484"/>
            <wp:effectExtent l="0" t="0" r="0" b="5080"/>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3E42" w:rsidRPr="00AE0D77" w:rsidRDefault="00423E42" w:rsidP="00423E42">
      <w:pPr>
        <w:snapToGrid w:val="0"/>
        <w:spacing w:line="300" w:lineRule="auto"/>
        <w:ind w:rightChars="-59" w:right="-142"/>
        <w:jc w:val="center"/>
        <w:rPr>
          <w:rFonts w:eastAsia="標楷體"/>
          <w:b/>
          <w:snapToGrid w:val="0"/>
          <w:sz w:val="28"/>
        </w:rPr>
      </w:pPr>
      <w:r w:rsidRPr="00AE0D77">
        <w:rPr>
          <w:rFonts w:eastAsia="標楷體"/>
          <w:b/>
          <w:snapToGrid w:val="0"/>
          <w:sz w:val="28"/>
        </w:rPr>
        <w:t>表</w:t>
      </w:r>
      <w:r w:rsidRPr="00AE0D77">
        <w:rPr>
          <w:rFonts w:eastAsia="標楷體"/>
          <w:b/>
          <w:snapToGrid w:val="0"/>
          <w:sz w:val="28"/>
        </w:rPr>
        <w:t xml:space="preserve"> 2-7-1  </w:t>
      </w:r>
      <w:r w:rsidRPr="00AE0D77">
        <w:rPr>
          <w:rFonts w:eastAsia="標楷體"/>
          <w:b/>
          <w:snapToGrid w:val="0"/>
          <w:sz w:val="28"/>
        </w:rPr>
        <w:t>物價變動</w:t>
      </w:r>
    </w:p>
    <w:p w:rsidR="00423E42" w:rsidRPr="00AE0D77" w:rsidRDefault="00423E42" w:rsidP="00423E42">
      <w:pPr>
        <w:snapToGrid w:val="0"/>
        <w:ind w:rightChars="-59" w:right="-142"/>
        <w:jc w:val="right"/>
        <w:rPr>
          <w:rFonts w:eastAsia="標楷體"/>
          <w:snapToGrid w:val="0"/>
          <w:sz w:val="22"/>
          <w:szCs w:val="22"/>
        </w:rPr>
      </w:pPr>
      <w:r w:rsidRPr="00AE0D77">
        <w:rPr>
          <w:rFonts w:eastAsia="標楷體"/>
          <w:snapToGrid w:val="0"/>
          <w:sz w:val="22"/>
          <w:szCs w:val="22"/>
        </w:rPr>
        <w:t>單位：</w:t>
      </w:r>
      <w:r w:rsidRPr="00AE0D77">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423E42" w:rsidRPr="00AE0D77" w:rsidTr="0099145A">
        <w:trPr>
          <w:cantSplit/>
          <w:jc w:val="center"/>
        </w:trPr>
        <w:tc>
          <w:tcPr>
            <w:tcW w:w="1793" w:type="dxa"/>
            <w:vMerge w:val="restart"/>
            <w:tcBorders>
              <w:left w:val="nil"/>
            </w:tcBorders>
            <w:vAlign w:val="center"/>
          </w:tcPr>
          <w:p w:rsidR="00423E42" w:rsidRPr="00AE0D77" w:rsidRDefault="00423E42" w:rsidP="0099145A">
            <w:pPr>
              <w:spacing w:line="36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302" w:type="dxa"/>
            <w:gridSpan w:val="3"/>
            <w:tcBorders>
              <w:bottom w:val="nil"/>
            </w:tcBorders>
          </w:tcPr>
          <w:p w:rsidR="00423E42" w:rsidRPr="00AE0D77" w:rsidRDefault="00423E42" w:rsidP="0099145A">
            <w:pPr>
              <w:spacing w:line="360" w:lineRule="exact"/>
              <w:rPr>
                <w:rFonts w:eastAsia="標楷體"/>
              </w:rPr>
            </w:pPr>
            <w:r w:rsidRPr="00AE0D77">
              <w:rPr>
                <w:rFonts w:eastAsia="標楷體"/>
              </w:rPr>
              <w:t>消費者物價指數（</w:t>
            </w:r>
            <w:r w:rsidRPr="00AE0D77">
              <w:rPr>
                <w:rFonts w:eastAsia="標楷體"/>
              </w:rPr>
              <w:t>CPI</w:t>
            </w:r>
            <w:r w:rsidRPr="00AE0D77">
              <w:rPr>
                <w:rFonts w:eastAsia="標楷體"/>
              </w:rPr>
              <w:t>）</w:t>
            </w:r>
          </w:p>
        </w:tc>
        <w:tc>
          <w:tcPr>
            <w:tcW w:w="4061" w:type="dxa"/>
            <w:gridSpan w:val="5"/>
            <w:tcBorders>
              <w:bottom w:val="nil"/>
              <w:right w:val="nil"/>
            </w:tcBorders>
          </w:tcPr>
          <w:p w:rsidR="00423E42" w:rsidRPr="00AE0D77" w:rsidRDefault="00423E42" w:rsidP="0099145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AE0D77">
              <w:rPr>
                <w:rFonts w:ascii="Times New Roman" w:eastAsia="標楷體" w:hAnsi="Times New Roman" w:cs="Times New Roman" w:hint="default"/>
                <w:color w:val="auto"/>
                <w:kern w:val="2"/>
              </w:rPr>
              <w:t>躉售物價指數（</w:t>
            </w:r>
            <w:r w:rsidRPr="00AE0D77">
              <w:rPr>
                <w:rFonts w:ascii="Times New Roman" w:eastAsia="標楷體" w:hAnsi="Times New Roman" w:cs="Times New Roman" w:hint="default"/>
                <w:color w:val="auto"/>
                <w:kern w:val="2"/>
              </w:rPr>
              <w:t>WPI</w:t>
            </w:r>
            <w:r w:rsidRPr="00AE0D77">
              <w:rPr>
                <w:rFonts w:ascii="Times New Roman" w:eastAsia="標楷體" w:hAnsi="Times New Roman" w:cs="Times New Roman" w:hint="default"/>
                <w:color w:val="auto"/>
                <w:kern w:val="2"/>
              </w:rPr>
              <w:t>）</w:t>
            </w:r>
          </w:p>
        </w:tc>
      </w:tr>
      <w:tr w:rsidR="00423E42" w:rsidRPr="00AE0D77" w:rsidTr="0099145A">
        <w:trPr>
          <w:cantSplit/>
          <w:jc w:val="center"/>
        </w:trPr>
        <w:tc>
          <w:tcPr>
            <w:tcW w:w="1793" w:type="dxa"/>
            <w:vMerge/>
            <w:tcBorders>
              <w:left w:val="nil"/>
              <w:bottom w:val="single" w:sz="4" w:space="0" w:color="auto"/>
            </w:tcBorders>
          </w:tcPr>
          <w:p w:rsidR="00423E42" w:rsidRPr="00AE0D77" w:rsidRDefault="00423E42" w:rsidP="0099145A">
            <w:pPr>
              <w:spacing w:line="360" w:lineRule="exact"/>
              <w:rPr>
                <w:rFonts w:eastAsia="標楷體"/>
              </w:rPr>
            </w:pPr>
          </w:p>
        </w:tc>
        <w:tc>
          <w:tcPr>
            <w:tcW w:w="1103" w:type="dxa"/>
            <w:tcBorders>
              <w:top w:val="nil"/>
              <w:bottom w:val="single" w:sz="4" w:space="0" w:color="auto"/>
            </w:tcBorders>
            <w:vAlign w:val="center"/>
          </w:tcPr>
          <w:p w:rsidR="00423E42" w:rsidRPr="00AE0D77" w:rsidRDefault="00423E42" w:rsidP="0099145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AE0D77">
              <w:rPr>
                <w:rFonts w:eastAsia="標楷體"/>
                <w:spacing w:val="0"/>
                <w:kern w:val="2"/>
                <w:szCs w:val="24"/>
              </w:rPr>
              <w:t>年增率</w:t>
            </w:r>
          </w:p>
        </w:tc>
        <w:tc>
          <w:tcPr>
            <w:tcW w:w="1045" w:type="dxa"/>
            <w:tcBorders>
              <w:top w:val="single" w:sz="4" w:space="0" w:color="auto"/>
              <w:bottom w:val="single" w:sz="4" w:space="0" w:color="auto"/>
            </w:tcBorders>
            <w:vAlign w:val="center"/>
          </w:tcPr>
          <w:p w:rsidR="00423E42" w:rsidRPr="00AE0D77" w:rsidRDefault="00423E42" w:rsidP="0099145A">
            <w:pPr>
              <w:pStyle w:val="k02"/>
              <w:spacing w:before="0" w:beforeAutospacing="0" w:after="0" w:afterAutospacing="0" w:line="320" w:lineRule="exact"/>
              <w:jc w:val="center"/>
              <w:rPr>
                <w:rFonts w:ascii="Times New Roman" w:eastAsia="標楷體"/>
                <w:spacing w:val="-34"/>
              </w:rPr>
            </w:pPr>
            <w:r w:rsidRPr="00AE0D77">
              <w:rPr>
                <w:rFonts w:ascii="Times New Roman" w:eastAsia="標楷體"/>
              </w:rPr>
              <w:t>不含食物</w:t>
            </w:r>
          </w:p>
        </w:tc>
        <w:tc>
          <w:tcPr>
            <w:tcW w:w="1154" w:type="dxa"/>
            <w:tcBorders>
              <w:top w:val="single" w:sz="4" w:space="0" w:color="auto"/>
              <w:bottom w:val="single" w:sz="4" w:space="0" w:color="auto"/>
            </w:tcBorders>
            <w:vAlign w:val="center"/>
          </w:tcPr>
          <w:p w:rsidR="00423E42" w:rsidRPr="00AE0D77" w:rsidRDefault="00423E42" w:rsidP="0099145A">
            <w:pPr>
              <w:pStyle w:val="k02"/>
              <w:spacing w:before="0" w:beforeAutospacing="0" w:after="0" w:afterAutospacing="0" w:line="320" w:lineRule="exact"/>
              <w:jc w:val="center"/>
              <w:rPr>
                <w:rFonts w:ascii="Times New Roman" w:eastAsia="標楷體"/>
              </w:rPr>
            </w:pPr>
            <w:r w:rsidRPr="00AE0D77">
              <w:rPr>
                <w:rFonts w:ascii="Times New Roman" w:eastAsia="標楷體"/>
              </w:rPr>
              <w:t>不含蔬果及能源</w:t>
            </w:r>
          </w:p>
          <w:p w:rsidR="00423E42" w:rsidRPr="00AE0D77" w:rsidRDefault="00423E42" w:rsidP="0099145A">
            <w:pPr>
              <w:pStyle w:val="k02"/>
              <w:spacing w:before="0" w:beforeAutospacing="0" w:after="0" w:afterAutospacing="0" w:line="320" w:lineRule="exact"/>
              <w:jc w:val="center"/>
              <w:rPr>
                <w:rFonts w:ascii="Times New Roman" w:eastAsia="標楷體"/>
                <w:spacing w:val="-34"/>
              </w:rPr>
            </w:pPr>
            <w:r w:rsidRPr="00AE0D77">
              <w:rPr>
                <w:rFonts w:ascii="Times New Roman" w:eastAsia="標楷體"/>
              </w:rPr>
              <w:t>(</w:t>
            </w:r>
            <w:r w:rsidRPr="00AE0D77">
              <w:rPr>
                <w:rFonts w:ascii="Times New Roman" w:eastAsia="標楷體"/>
              </w:rPr>
              <w:t>核心</w:t>
            </w:r>
            <w:r w:rsidRPr="00AE0D77">
              <w:rPr>
                <w:rFonts w:ascii="Times New Roman" w:eastAsia="標楷體"/>
              </w:rPr>
              <w:t>CPI)</w:t>
            </w:r>
          </w:p>
        </w:tc>
        <w:tc>
          <w:tcPr>
            <w:tcW w:w="1027" w:type="dxa"/>
            <w:tcBorders>
              <w:top w:val="nil"/>
              <w:bottom w:val="single" w:sz="4" w:space="0" w:color="auto"/>
            </w:tcBorders>
          </w:tcPr>
          <w:p w:rsidR="00423E42" w:rsidRPr="00AE0D77" w:rsidRDefault="00423E42" w:rsidP="0099145A">
            <w:pPr>
              <w:spacing w:line="320" w:lineRule="exact"/>
              <w:jc w:val="center"/>
              <w:rPr>
                <w:rFonts w:eastAsia="標楷體"/>
              </w:rPr>
            </w:pPr>
          </w:p>
          <w:p w:rsidR="00423E42" w:rsidRPr="00AE0D77" w:rsidRDefault="00423E42" w:rsidP="0099145A">
            <w:pPr>
              <w:spacing w:line="320" w:lineRule="exact"/>
              <w:jc w:val="center"/>
              <w:rPr>
                <w:rFonts w:eastAsia="標楷體"/>
              </w:rPr>
            </w:pPr>
            <w:r w:rsidRPr="00AE0D77">
              <w:rPr>
                <w:rFonts w:eastAsia="標楷體"/>
              </w:rPr>
              <w:t>年增率</w:t>
            </w:r>
          </w:p>
        </w:tc>
        <w:tc>
          <w:tcPr>
            <w:tcW w:w="851" w:type="dxa"/>
            <w:tcBorders>
              <w:top w:val="single" w:sz="4" w:space="0" w:color="auto"/>
              <w:bottom w:val="single" w:sz="4" w:space="0" w:color="auto"/>
            </w:tcBorders>
            <w:vAlign w:val="center"/>
          </w:tcPr>
          <w:p w:rsidR="00423E42" w:rsidRPr="00AE0D77" w:rsidRDefault="00423E42" w:rsidP="0099145A">
            <w:pPr>
              <w:spacing w:line="320" w:lineRule="exact"/>
              <w:jc w:val="center"/>
              <w:rPr>
                <w:rFonts w:eastAsia="標楷體"/>
              </w:rPr>
            </w:pPr>
            <w:r w:rsidRPr="00AE0D77">
              <w:rPr>
                <w:rFonts w:eastAsia="標楷體"/>
              </w:rPr>
              <w:t>國產</w:t>
            </w:r>
          </w:p>
          <w:p w:rsidR="00423E42" w:rsidRPr="00AE0D77" w:rsidRDefault="00423E42" w:rsidP="0099145A">
            <w:pPr>
              <w:spacing w:line="320" w:lineRule="exact"/>
              <w:jc w:val="center"/>
              <w:rPr>
                <w:rFonts w:eastAsia="標楷體"/>
              </w:rPr>
            </w:pPr>
            <w:r w:rsidRPr="00AE0D77">
              <w:rPr>
                <w:rFonts w:eastAsia="標楷體"/>
              </w:rPr>
              <w:t>內銷</w:t>
            </w:r>
          </w:p>
        </w:tc>
        <w:tc>
          <w:tcPr>
            <w:tcW w:w="1067" w:type="dxa"/>
            <w:tcBorders>
              <w:top w:val="single" w:sz="4" w:space="0" w:color="auto"/>
              <w:bottom w:val="single" w:sz="4" w:space="0" w:color="auto"/>
            </w:tcBorders>
            <w:vAlign w:val="center"/>
          </w:tcPr>
          <w:p w:rsidR="00423E42" w:rsidRPr="00AE0D77" w:rsidRDefault="00423E42" w:rsidP="0099145A">
            <w:pPr>
              <w:spacing w:line="320" w:lineRule="exact"/>
              <w:jc w:val="center"/>
              <w:rPr>
                <w:rFonts w:eastAsia="標楷體"/>
              </w:rPr>
            </w:pPr>
            <w:r w:rsidRPr="00AE0D77">
              <w:rPr>
                <w:rFonts w:eastAsia="標楷體"/>
              </w:rPr>
              <w:t>進口</w:t>
            </w:r>
          </w:p>
          <w:p w:rsidR="00423E42" w:rsidRPr="00AE0D77" w:rsidRDefault="00423E42" w:rsidP="0099145A">
            <w:pPr>
              <w:spacing w:line="320" w:lineRule="exact"/>
              <w:jc w:val="center"/>
              <w:rPr>
                <w:rFonts w:eastAsia="標楷體"/>
              </w:rPr>
            </w:pPr>
            <w:r w:rsidRPr="00AE0D77">
              <w:rPr>
                <w:rFonts w:eastAsia="標楷體"/>
              </w:rPr>
              <w:t>(</w:t>
            </w:r>
            <w:r w:rsidRPr="00AE0D77">
              <w:rPr>
                <w:rFonts w:eastAsia="標楷體"/>
              </w:rPr>
              <w:t>新臺幣</w:t>
            </w:r>
            <w:r w:rsidRPr="00AE0D77">
              <w:rPr>
                <w:rFonts w:eastAsia="標楷體"/>
              </w:rPr>
              <w:t>)</w:t>
            </w:r>
          </w:p>
        </w:tc>
        <w:tc>
          <w:tcPr>
            <w:tcW w:w="1116" w:type="dxa"/>
            <w:gridSpan w:val="2"/>
            <w:tcBorders>
              <w:top w:val="single" w:sz="4" w:space="0" w:color="auto"/>
              <w:bottom w:val="single" w:sz="4" w:space="0" w:color="auto"/>
              <w:right w:val="nil"/>
            </w:tcBorders>
            <w:vAlign w:val="center"/>
          </w:tcPr>
          <w:p w:rsidR="00423E42" w:rsidRPr="00AE0D77" w:rsidRDefault="00423E42" w:rsidP="0099145A">
            <w:pPr>
              <w:spacing w:line="320" w:lineRule="exact"/>
              <w:jc w:val="center"/>
              <w:rPr>
                <w:rFonts w:eastAsia="標楷體"/>
              </w:rPr>
            </w:pPr>
            <w:r w:rsidRPr="00AE0D77">
              <w:rPr>
                <w:rFonts w:eastAsia="標楷體"/>
              </w:rPr>
              <w:t>出口</w:t>
            </w:r>
          </w:p>
          <w:p w:rsidR="00423E42" w:rsidRPr="00AE0D77" w:rsidRDefault="00423E42" w:rsidP="0099145A">
            <w:pPr>
              <w:spacing w:line="320" w:lineRule="exact"/>
              <w:jc w:val="center"/>
              <w:rPr>
                <w:rFonts w:eastAsia="標楷體"/>
              </w:rPr>
            </w:pPr>
            <w:r w:rsidRPr="00AE0D77">
              <w:rPr>
                <w:rFonts w:eastAsia="標楷體"/>
              </w:rPr>
              <w:t>(</w:t>
            </w:r>
            <w:r w:rsidRPr="00AE0D77">
              <w:rPr>
                <w:rFonts w:eastAsia="標楷體"/>
              </w:rPr>
              <w:t>新臺幣</w:t>
            </w:r>
            <w:r w:rsidRPr="00AE0D77">
              <w:rPr>
                <w:rFonts w:eastAsia="標楷體"/>
              </w:rPr>
              <w:t>)</w:t>
            </w:r>
          </w:p>
        </w:tc>
      </w:tr>
      <w:tr w:rsidR="00FC4180" w:rsidRPr="00AE0D77" w:rsidTr="0099145A">
        <w:trPr>
          <w:gridAfter w:val="1"/>
          <w:wAfter w:w="46" w:type="dxa"/>
          <w:jc w:val="center"/>
        </w:trPr>
        <w:tc>
          <w:tcPr>
            <w:tcW w:w="1793" w:type="dxa"/>
            <w:tcBorders>
              <w:top w:val="nil"/>
              <w:left w:val="nil"/>
              <w:bottom w:val="nil"/>
            </w:tcBorders>
          </w:tcPr>
          <w:p w:rsidR="00FC4180" w:rsidRPr="00AE0D77" w:rsidRDefault="00FC4180" w:rsidP="00087024">
            <w:pPr>
              <w:snapToGrid w:val="0"/>
              <w:spacing w:line="360" w:lineRule="exact"/>
              <w:ind w:rightChars="12" w:right="29"/>
              <w:jc w:val="both"/>
              <w:rPr>
                <w:rFonts w:eastAsia="標楷體"/>
                <w:b/>
                <w:bCs/>
              </w:rPr>
            </w:pPr>
            <w:r w:rsidRPr="00AE0D77">
              <w:rPr>
                <w:rFonts w:eastAsia="標楷體"/>
                <w:b/>
                <w:bCs/>
              </w:rPr>
              <w:t xml:space="preserve">  101</w:t>
            </w:r>
            <w:r w:rsidRPr="00AE0D77">
              <w:rPr>
                <w:rFonts w:eastAsia="標楷體"/>
                <w:b/>
                <w:bCs/>
              </w:rPr>
              <w:t>年</w:t>
            </w:r>
          </w:p>
        </w:tc>
        <w:tc>
          <w:tcPr>
            <w:tcW w:w="1103" w:type="dxa"/>
            <w:tcBorders>
              <w:top w:val="nil"/>
              <w:bottom w:val="nil"/>
              <w:right w:val="nil"/>
            </w:tcBorders>
            <w:vAlign w:val="center"/>
          </w:tcPr>
          <w:p w:rsidR="00FC4180" w:rsidRPr="00AE0D77" w:rsidRDefault="00FC4180" w:rsidP="00087024">
            <w:pPr>
              <w:pStyle w:val="ab"/>
              <w:spacing w:line="360" w:lineRule="exact"/>
              <w:ind w:rightChars="94" w:right="226"/>
              <w:rPr>
                <w:rFonts w:eastAsia="標楷體"/>
                <w:b/>
                <w:bCs/>
              </w:rPr>
            </w:pPr>
            <w:r w:rsidRPr="00AE0D77">
              <w:rPr>
                <w:rFonts w:eastAsia="標楷體"/>
                <w:b/>
                <w:bCs/>
              </w:rPr>
              <w:t>1.93</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1.07</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1.00</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-1.16</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-0.59</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-1.28</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-1.62</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087024">
            <w:pPr>
              <w:snapToGrid w:val="0"/>
              <w:spacing w:line="360" w:lineRule="exact"/>
              <w:ind w:rightChars="12" w:right="29" w:firstLineChars="100" w:firstLine="240"/>
              <w:jc w:val="both"/>
              <w:rPr>
                <w:rFonts w:eastAsia="標楷體"/>
                <w:b/>
              </w:rPr>
            </w:pPr>
            <w:r w:rsidRPr="00AE0D77">
              <w:rPr>
                <w:rFonts w:eastAsia="標楷體"/>
                <w:b/>
                <w:bCs/>
              </w:rPr>
              <w:t>102</w:t>
            </w:r>
            <w:r w:rsidRPr="00AE0D77">
              <w:rPr>
                <w:rFonts w:eastAsia="標楷體"/>
                <w:b/>
              </w:rPr>
              <w:t>年</w:t>
            </w:r>
          </w:p>
        </w:tc>
        <w:tc>
          <w:tcPr>
            <w:tcW w:w="1103" w:type="dxa"/>
            <w:tcBorders>
              <w:top w:val="nil"/>
              <w:left w:val="single" w:sz="4" w:space="0" w:color="auto"/>
              <w:bottom w:val="nil"/>
              <w:right w:val="nil"/>
            </w:tcBorders>
            <w:vAlign w:val="center"/>
          </w:tcPr>
          <w:p w:rsidR="00FC4180" w:rsidRPr="00AE0D77" w:rsidRDefault="00FC4180" w:rsidP="00087024">
            <w:pPr>
              <w:pStyle w:val="ab"/>
              <w:spacing w:line="360" w:lineRule="exact"/>
              <w:ind w:rightChars="94" w:right="226"/>
              <w:rPr>
                <w:rFonts w:eastAsia="標楷體"/>
                <w:b/>
              </w:rPr>
            </w:pPr>
            <w:r w:rsidRPr="00AE0D77">
              <w:rPr>
                <w:rFonts w:eastAsia="標楷體"/>
                <w:b/>
              </w:rPr>
              <w:t>0.79</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0.59</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0.66</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-2.43</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-0.71</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-4.45</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-2.06</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087024">
            <w:pPr>
              <w:snapToGrid w:val="0"/>
              <w:spacing w:line="360" w:lineRule="exact"/>
              <w:ind w:rightChars="12" w:right="29" w:firstLineChars="100" w:firstLine="240"/>
              <w:jc w:val="both"/>
              <w:rPr>
                <w:rFonts w:eastAsia="標楷體"/>
                <w:b/>
                <w:bCs/>
              </w:rPr>
            </w:pPr>
            <w:r w:rsidRPr="00AE0D77">
              <w:rPr>
                <w:rFonts w:eastAsia="標楷體"/>
                <w:b/>
              </w:rPr>
              <w:t>103</w:t>
            </w:r>
            <w:r w:rsidRPr="00AE0D77">
              <w:rPr>
                <w:rFonts w:eastAsia="標楷體"/>
                <w:b/>
                <w:bCs/>
              </w:rPr>
              <w:t>年</w:t>
            </w:r>
          </w:p>
        </w:tc>
        <w:tc>
          <w:tcPr>
            <w:tcW w:w="1103" w:type="dxa"/>
            <w:tcBorders>
              <w:top w:val="nil"/>
              <w:left w:val="single" w:sz="4" w:space="0" w:color="auto"/>
              <w:bottom w:val="nil"/>
              <w:right w:val="nil"/>
            </w:tcBorders>
            <w:vAlign w:val="center"/>
          </w:tcPr>
          <w:p w:rsidR="00FC4180" w:rsidRPr="00AE0D77" w:rsidRDefault="00FC4180" w:rsidP="00087024">
            <w:pPr>
              <w:pStyle w:val="ab"/>
              <w:spacing w:line="360" w:lineRule="exact"/>
              <w:ind w:rightChars="94" w:right="226"/>
              <w:rPr>
                <w:rFonts w:eastAsia="標楷體"/>
                <w:b/>
                <w:bCs/>
              </w:rPr>
            </w:pPr>
            <w:r w:rsidRPr="00AE0D77">
              <w:rPr>
                <w:rFonts w:eastAsia="標楷體"/>
                <w:b/>
                <w:bCs/>
              </w:rPr>
              <w:t>1.20</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0.30</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1.26</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-0.57</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0.28</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-2.10</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0.10</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087024">
            <w:pPr>
              <w:snapToGrid w:val="0"/>
              <w:spacing w:line="360" w:lineRule="exact"/>
              <w:ind w:rightChars="12" w:right="29" w:firstLineChars="100" w:firstLine="240"/>
              <w:jc w:val="both"/>
              <w:rPr>
                <w:rFonts w:eastAsia="標楷體"/>
                <w:b/>
              </w:rPr>
            </w:pPr>
            <w:r w:rsidRPr="00AE0D77">
              <w:rPr>
                <w:rFonts w:eastAsia="標楷體"/>
                <w:b/>
                <w:bCs/>
              </w:rPr>
              <w:t>104</w:t>
            </w:r>
            <w:r w:rsidRPr="00AE0D77">
              <w:rPr>
                <w:rFonts w:eastAsia="標楷體"/>
                <w:b/>
              </w:rPr>
              <w:t>年</w:t>
            </w:r>
          </w:p>
        </w:tc>
        <w:tc>
          <w:tcPr>
            <w:tcW w:w="1103" w:type="dxa"/>
            <w:tcBorders>
              <w:top w:val="nil"/>
              <w:left w:val="single" w:sz="4" w:space="0" w:color="auto"/>
              <w:bottom w:val="nil"/>
              <w:right w:val="nil"/>
            </w:tcBorders>
            <w:vAlign w:val="center"/>
          </w:tcPr>
          <w:p w:rsidR="00FC4180" w:rsidRPr="00AE0D77" w:rsidRDefault="00FC4180" w:rsidP="00087024">
            <w:pPr>
              <w:pStyle w:val="ab"/>
              <w:spacing w:line="360" w:lineRule="exact"/>
              <w:ind w:rightChars="94" w:right="226"/>
              <w:rPr>
                <w:rFonts w:eastAsia="標楷體"/>
                <w:b/>
              </w:rPr>
            </w:pPr>
            <w:r w:rsidRPr="00AE0D77">
              <w:rPr>
                <w:rFonts w:eastAsia="標楷體"/>
                <w:b/>
              </w:rPr>
              <w:t>-0.31</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-1.55</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0.79</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-8.84</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-9.55</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-12.94</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-4.67</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087024">
            <w:pPr>
              <w:snapToGrid w:val="0"/>
              <w:spacing w:line="360" w:lineRule="exact"/>
              <w:ind w:rightChars="12" w:right="29" w:firstLineChars="100" w:firstLine="240"/>
              <w:jc w:val="both"/>
              <w:rPr>
                <w:rFonts w:eastAsia="標楷體"/>
                <w:b/>
              </w:rPr>
            </w:pPr>
            <w:r w:rsidRPr="00AE0D77">
              <w:rPr>
                <w:rFonts w:eastAsia="標楷體"/>
                <w:b/>
                <w:bCs/>
              </w:rPr>
              <w:t>105</w:t>
            </w:r>
            <w:r w:rsidRPr="00AE0D77">
              <w:rPr>
                <w:rFonts w:eastAsia="標楷體"/>
                <w:b/>
              </w:rPr>
              <w:t>年</w:t>
            </w:r>
          </w:p>
        </w:tc>
        <w:tc>
          <w:tcPr>
            <w:tcW w:w="1103" w:type="dxa"/>
            <w:tcBorders>
              <w:top w:val="nil"/>
              <w:left w:val="single" w:sz="4" w:space="0" w:color="auto"/>
              <w:bottom w:val="nil"/>
              <w:right w:val="nil"/>
            </w:tcBorders>
            <w:vAlign w:val="center"/>
          </w:tcPr>
          <w:p w:rsidR="00FC4180" w:rsidRPr="00AE0D77" w:rsidRDefault="00FC4180" w:rsidP="00087024">
            <w:pPr>
              <w:pStyle w:val="ab"/>
              <w:spacing w:line="360" w:lineRule="exact"/>
              <w:ind w:rightChars="94" w:right="226"/>
              <w:rPr>
                <w:rFonts w:eastAsia="標楷體"/>
                <w:b/>
              </w:rPr>
            </w:pPr>
            <w:r w:rsidRPr="00AE0D77">
              <w:rPr>
                <w:rFonts w:eastAsia="標楷體"/>
                <w:b/>
              </w:rPr>
              <w:t>1.40</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-0.07</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0.84</w:t>
            </w:r>
          </w:p>
        </w:tc>
        <w:tc>
          <w:tcPr>
            <w:tcW w:w="102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-2.99</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-3.23</w:t>
            </w:r>
          </w:p>
        </w:tc>
        <w:tc>
          <w:tcPr>
            <w:tcW w:w="1067"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-3.08</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-2.71</w:t>
            </w:r>
          </w:p>
        </w:tc>
      </w:tr>
      <w:tr w:rsidR="00FC4180" w:rsidRPr="00AE0D77" w:rsidTr="00087024">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5</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1.23</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-0.47</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0.91</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-2.80</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-4.74</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-2.58</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-1.41</w:t>
            </w:r>
          </w:p>
        </w:tc>
      </w:tr>
      <w:tr w:rsidR="00FC4180" w:rsidRPr="00AE0D77" w:rsidTr="00087024">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6</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0.91</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-0.44</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0.81</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-2.80</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-4.61</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-2.41</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-1.67</w:t>
            </w:r>
          </w:p>
        </w:tc>
      </w:tr>
      <w:tr w:rsidR="00FC4180" w:rsidRPr="00AE0D77" w:rsidTr="00087024">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7</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1.23</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-0.35</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0.79</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-2.48</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-3.30</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-2.41</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-1.86</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8</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0.57</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-0.22</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0.77</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-3.97</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-3.34</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-3.67</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-4.67</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9</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0.33</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0.11</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0.95</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-3.78</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-2.16</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-3.98</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-4.86</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10</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1.70</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0.30</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0.96</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-1.82</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-0.38</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-1.39</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-3.31</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11</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1.97</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0.22</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0.83</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-0.39</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1.16</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0.38</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-2.19</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12</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1.69</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0.61</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0.81</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1.79</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2.82</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3.39</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-0.26</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napToGrid w:val="0"/>
              <w:spacing w:line="360" w:lineRule="exact"/>
              <w:ind w:rightChars="12" w:right="29" w:firstLineChars="100" w:firstLine="240"/>
              <w:jc w:val="both"/>
              <w:rPr>
                <w:rFonts w:eastAsia="標楷體"/>
                <w:b/>
              </w:rPr>
            </w:pPr>
            <w:r w:rsidRPr="00AE0D77">
              <w:rPr>
                <w:rFonts w:eastAsia="標楷體"/>
                <w:b/>
                <w:bCs/>
              </w:rPr>
              <w:t>106</w:t>
            </w:r>
            <w:r w:rsidRPr="00AE0D77">
              <w:rPr>
                <w:rFonts w:eastAsia="標楷體"/>
                <w:b/>
              </w:rPr>
              <w:t>年</w:t>
            </w:r>
            <w:r w:rsidRPr="00AE0D77">
              <w:rPr>
                <w:rFonts w:eastAsia="標楷體"/>
                <w:b/>
              </w:rPr>
              <w:t>1~5</w:t>
            </w:r>
            <w:r w:rsidRPr="00AE0D77">
              <w:rPr>
                <w:rFonts w:eastAsia="標楷體"/>
                <w:b/>
              </w:rPr>
              <w:t>月</w:t>
            </w:r>
          </w:p>
        </w:tc>
        <w:tc>
          <w:tcPr>
            <w:tcW w:w="1103" w:type="dxa"/>
            <w:tcBorders>
              <w:top w:val="nil"/>
              <w:left w:val="single" w:sz="4" w:space="0" w:color="auto"/>
              <w:bottom w:val="nil"/>
              <w:right w:val="nil"/>
            </w:tcBorders>
            <w:vAlign w:val="center"/>
          </w:tcPr>
          <w:p w:rsidR="00FC4180" w:rsidRPr="00AE0D77" w:rsidRDefault="00FC4180" w:rsidP="00087024">
            <w:pPr>
              <w:pStyle w:val="ab"/>
              <w:spacing w:line="360" w:lineRule="exact"/>
              <w:ind w:rightChars="94" w:right="226"/>
              <w:rPr>
                <w:rFonts w:eastAsia="標楷體"/>
                <w:b/>
              </w:rPr>
            </w:pPr>
            <w:r w:rsidRPr="00AE0D77">
              <w:rPr>
                <w:rFonts w:eastAsia="標楷體"/>
                <w:b/>
              </w:rPr>
              <w:t>0.6</w:t>
            </w:r>
            <w:r w:rsidR="00982C0A" w:rsidRPr="00AE0D77">
              <w:rPr>
                <w:rFonts w:eastAsia="標楷體"/>
                <w:b/>
              </w:rPr>
              <w:t>0</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1.0</w:t>
            </w:r>
            <w:r w:rsidR="00982C0A" w:rsidRPr="00AE0D77">
              <w:rPr>
                <w:rFonts w:eastAsia="標楷體"/>
                <w:b/>
              </w:rPr>
              <w:t>1</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b/>
              </w:rPr>
            </w:pPr>
            <w:r w:rsidRPr="00AE0D77">
              <w:rPr>
                <w:rFonts w:eastAsia="標楷體"/>
                <w:b/>
              </w:rPr>
              <w:t>0.9</w:t>
            </w:r>
            <w:r w:rsidR="00982C0A" w:rsidRPr="00AE0D77">
              <w:rPr>
                <w:rFonts w:eastAsia="標楷體"/>
                <w:b/>
              </w:rPr>
              <w:t>7</w:t>
            </w:r>
          </w:p>
        </w:tc>
        <w:tc>
          <w:tcPr>
            <w:tcW w:w="1027" w:type="dxa"/>
            <w:tcBorders>
              <w:top w:val="nil"/>
              <w:left w:val="nil"/>
              <w:bottom w:val="nil"/>
              <w:right w:val="nil"/>
            </w:tcBorders>
            <w:vAlign w:val="center"/>
          </w:tcPr>
          <w:p w:rsidR="00FC4180" w:rsidRPr="00AE0D77" w:rsidRDefault="00A32B82" w:rsidP="00087024">
            <w:pPr>
              <w:pStyle w:val="ab"/>
              <w:spacing w:line="360" w:lineRule="exact"/>
              <w:ind w:rightChars="100" w:right="240"/>
              <w:rPr>
                <w:rFonts w:eastAsia="標楷體"/>
                <w:b/>
              </w:rPr>
            </w:pPr>
            <w:r w:rsidRPr="00AE0D77">
              <w:rPr>
                <w:rFonts w:eastAsia="標楷體"/>
                <w:b/>
              </w:rPr>
              <w:t>1.36</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b/>
              </w:rPr>
            </w:pPr>
            <w:r w:rsidRPr="00AE0D77">
              <w:rPr>
                <w:rFonts w:eastAsia="標楷體"/>
                <w:b/>
              </w:rPr>
              <w:t>4.</w:t>
            </w:r>
            <w:r w:rsidR="00982C0A" w:rsidRPr="00AE0D77">
              <w:rPr>
                <w:rFonts w:eastAsia="標楷體"/>
                <w:b/>
              </w:rPr>
              <w:t>20</w:t>
            </w:r>
          </w:p>
        </w:tc>
        <w:tc>
          <w:tcPr>
            <w:tcW w:w="1067" w:type="dxa"/>
            <w:tcBorders>
              <w:top w:val="nil"/>
              <w:left w:val="nil"/>
              <w:bottom w:val="nil"/>
              <w:right w:val="nil"/>
            </w:tcBorders>
            <w:vAlign w:val="center"/>
          </w:tcPr>
          <w:p w:rsidR="00FC4180" w:rsidRPr="00AE0D77" w:rsidRDefault="00982C0A" w:rsidP="00087024">
            <w:pPr>
              <w:pStyle w:val="ab"/>
              <w:spacing w:line="360" w:lineRule="exact"/>
              <w:ind w:rightChars="100" w:right="240"/>
              <w:rPr>
                <w:rFonts w:eastAsia="標楷體"/>
                <w:b/>
              </w:rPr>
            </w:pPr>
            <w:r w:rsidRPr="00AE0D77">
              <w:rPr>
                <w:rFonts w:eastAsia="標楷體"/>
                <w:b/>
              </w:rPr>
              <w:t>2.35</w:t>
            </w:r>
          </w:p>
        </w:tc>
        <w:tc>
          <w:tcPr>
            <w:tcW w:w="1070" w:type="dxa"/>
            <w:tcBorders>
              <w:top w:val="nil"/>
              <w:left w:val="nil"/>
              <w:bottom w:val="nil"/>
              <w:right w:val="nil"/>
            </w:tcBorders>
            <w:vAlign w:val="center"/>
          </w:tcPr>
          <w:p w:rsidR="00FC4180" w:rsidRPr="00AE0D77" w:rsidRDefault="00FC4180" w:rsidP="00087024">
            <w:pPr>
              <w:pStyle w:val="ab"/>
              <w:spacing w:line="360" w:lineRule="exact"/>
              <w:ind w:rightChars="100" w:right="240"/>
              <w:rPr>
                <w:rFonts w:eastAsia="標楷體"/>
                <w:b/>
              </w:rPr>
            </w:pPr>
            <w:r w:rsidRPr="00AE0D77">
              <w:rPr>
                <w:rFonts w:eastAsia="標楷體"/>
                <w:b/>
              </w:rPr>
              <w:t>-</w:t>
            </w:r>
            <w:r w:rsidR="00982C0A" w:rsidRPr="00AE0D77">
              <w:rPr>
                <w:rFonts w:eastAsia="標楷體"/>
                <w:b/>
              </w:rPr>
              <w:t>1.60</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1</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2.24</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1.96</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1.64</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2.75</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5.25</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4.76</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-0.70</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2</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-0.07</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0.21</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0.15</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2.4</w:t>
            </w:r>
            <w:r w:rsidR="00982C0A" w:rsidRPr="00AE0D77">
              <w:rPr>
                <w:rFonts w:eastAsia="標楷體"/>
              </w:rPr>
              <w:t>6</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5.4</w:t>
            </w:r>
            <w:r w:rsidR="00982C0A" w:rsidRPr="00AE0D77">
              <w:rPr>
                <w:rFonts w:eastAsia="標楷體"/>
              </w:rPr>
              <w:t>6</w:t>
            </w:r>
          </w:p>
        </w:tc>
        <w:tc>
          <w:tcPr>
            <w:tcW w:w="1067" w:type="dxa"/>
            <w:tcBorders>
              <w:top w:val="nil"/>
              <w:left w:val="nil"/>
              <w:bottom w:val="nil"/>
              <w:right w:val="nil"/>
            </w:tcBorders>
          </w:tcPr>
          <w:p w:rsidR="00FC4180" w:rsidRPr="00AE0D77" w:rsidRDefault="00982C0A" w:rsidP="00087024">
            <w:pPr>
              <w:pStyle w:val="ab"/>
              <w:spacing w:line="360" w:lineRule="exact"/>
              <w:ind w:rightChars="94" w:right="226"/>
              <w:rPr>
                <w:rFonts w:eastAsia="標楷體"/>
              </w:rPr>
            </w:pPr>
            <w:r w:rsidRPr="00AE0D77">
              <w:rPr>
                <w:rFonts w:eastAsia="標楷體"/>
              </w:rPr>
              <w:t>4.4</w:t>
            </w:r>
            <w:r w:rsidR="00FC4180" w:rsidRPr="00AE0D77">
              <w:rPr>
                <w:rFonts w:eastAsia="標楷體"/>
              </w:rPr>
              <w:t>2</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w:t>
            </w:r>
            <w:r w:rsidR="00982C0A" w:rsidRPr="00AE0D77">
              <w:rPr>
                <w:rFonts w:eastAsia="標楷體"/>
              </w:rPr>
              <w:t>33</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3</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0.1</w:t>
            </w:r>
            <w:r w:rsidR="00982C0A" w:rsidRPr="00AE0D77">
              <w:rPr>
                <w:rFonts w:eastAsia="標楷體"/>
              </w:rPr>
              <w:t>7</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0.95</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0.95</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1.7</w:t>
            </w:r>
            <w:r w:rsidR="00982C0A" w:rsidRPr="00AE0D77">
              <w:rPr>
                <w:rFonts w:eastAsia="標楷體"/>
              </w:rPr>
              <w:t>1</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3.91</w:t>
            </w:r>
          </w:p>
        </w:tc>
        <w:tc>
          <w:tcPr>
            <w:tcW w:w="1067" w:type="dxa"/>
            <w:tcBorders>
              <w:top w:val="nil"/>
              <w:left w:val="nil"/>
              <w:bottom w:val="nil"/>
              <w:right w:val="nil"/>
            </w:tcBorders>
          </w:tcPr>
          <w:p w:rsidR="00FC4180" w:rsidRPr="00AE0D77" w:rsidRDefault="00982C0A" w:rsidP="00087024">
            <w:pPr>
              <w:pStyle w:val="ab"/>
              <w:spacing w:line="360" w:lineRule="exact"/>
              <w:ind w:rightChars="94" w:right="226"/>
              <w:rPr>
                <w:rFonts w:eastAsia="標楷體"/>
              </w:rPr>
            </w:pPr>
            <w:r w:rsidRPr="00AE0D77">
              <w:rPr>
                <w:rFonts w:eastAsia="標楷體"/>
              </w:rPr>
              <w:t>3.07</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w:t>
            </w:r>
            <w:r w:rsidR="00982C0A" w:rsidRPr="00AE0D77">
              <w:rPr>
                <w:rFonts w:eastAsia="標楷體"/>
              </w:rPr>
              <w:t>1.07</w:t>
            </w:r>
          </w:p>
        </w:tc>
      </w:tr>
      <w:tr w:rsidR="00FC4180" w:rsidRPr="00AE0D77" w:rsidTr="0099145A">
        <w:trPr>
          <w:gridAfter w:val="1"/>
          <w:wAfter w:w="46" w:type="dxa"/>
          <w:jc w:val="center"/>
        </w:trPr>
        <w:tc>
          <w:tcPr>
            <w:tcW w:w="1793" w:type="dxa"/>
            <w:tcBorders>
              <w:top w:val="nil"/>
              <w:left w:val="nil"/>
              <w:bottom w:val="nil"/>
              <w:right w:val="single" w:sz="4" w:space="0" w:color="auto"/>
            </w:tcBorders>
          </w:tcPr>
          <w:p w:rsidR="00FC4180" w:rsidRPr="00AE0D77" w:rsidRDefault="00FC4180" w:rsidP="0099145A">
            <w:pPr>
              <w:spacing w:line="360" w:lineRule="exact"/>
              <w:ind w:right="284"/>
              <w:jc w:val="right"/>
              <w:rPr>
                <w:rFonts w:eastAsia="標楷體"/>
              </w:rPr>
            </w:pPr>
            <w:r w:rsidRPr="00AE0D77">
              <w:rPr>
                <w:rFonts w:eastAsia="標楷體"/>
              </w:rPr>
              <w:t>4</w:t>
            </w:r>
            <w:r w:rsidRPr="00AE0D77">
              <w:rPr>
                <w:rFonts w:eastAsia="標楷體"/>
              </w:rPr>
              <w:t>月</w:t>
            </w:r>
          </w:p>
        </w:tc>
        <w:tc>
          <w:tcPr>
            <w:tcW w:w="1103" w:type="dxa"/>
            <w:tcBorders>
              <w:top w:val="nil"/>
              <w:left w:val="single" w:sz="4" w:space="0" w:color="auto"/>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0.1</w:t>
            </w:r>
            <w:r w:rsidR="00982C0A" w:rsidRPr="00AE0D77">
              <w:rPr>
                <w:rFonts w:eastAsia="標楷體"/>
              </w:rPr>
              <w:t>0</w:t>
            </w:r>
          </w:p>
        </w:tc>
        <w:tc>
          <w:tcPr>
            <w:tcW w:w="1045" w:type="dxa"/>
            <w:tcBorders>
              <w:top w:val="nil"/>
              <w:left w:val="nil"/>
              <w:bottom w:val="nil"/>
              <w:right w:val="nil"/>
            </w:tcBorders>
            <w:vAlign w:val="center"/>
          </w:tcPr>
          <w:p w:rsidR="00FC4180" w:rsidRPr="00AE0D77" w:rsidRDefault="00FC4180" w:rsidP="00087024">
            <w:pPr>
              <w:pStyle w:val="ab"/>
              <w:spacing w:line="360" w:lineRule="exact"/>
              <w:ind w:rightChars="94" w:right="226"/>
              <w:rPr>
                <w:rFonts w:eastAsia="標楷體"/>
              </w:rPr>
            </w:pPr>
            <w:r w:rsidRPr="00AE0D77">
              <w:rPr>
                <w:rFonts w:eastAsia="標楷體"/>
              </w:rPr>
              <w:t>1.1</w:t>
            </w:r>
            <w:r w:rsidR="00982C0A" w:rsidRPr="00AE0D77">
              <w:rPr>
                <w:rFonts w:eastAsia="標楷體"/>
              </w:rPr>
              <w:t>1</w:t>
            </w:r>
          </w:p>
        </w:tc>
        <w:tc>
          <w:tcPr>
            <w:tcW w:w="1154" w:type="dxa"/>
            <w:tcBorders>
              <w:top w:val="nil"/>
              <w:left w:val="nil"/>
              <w:bottom w:val="nil"/>
              <w:right w:val="nil"/>
            </w:tcBorders>
            <w:vAlign w:val="center"/>
          </w:tcPr>
          <w:p w:rsidR="00FC4180" w:rsidRPr="00AE0D77" w:rsidRDefault="00FC4180" w:rsidP="00087024">
            <w:pPr>
              <w:pStyle w:val="ab"/>
              <w:spacing w:line="360" w:lineRule="exact"/>
              <w:ind w:rightChars="115" w:right="276"/>
              <w:rPr>
                <w:rFonts w:eastAsia="標楷體"/>
              </w:rPr>
            </w:pPr>
            <w:r w:rsidRPr="00AE0D77">
              <w:rPr>
                <w:rFonts w:eastAsia="標楷體"/>
              </w:rPr>
              <w:t>1.0</w:t>
            </w:r>
            <w:r w:rsidR="00982C0A" w:rsidRPr="00AE0D77">
              <w:rPr>
                <w:rFonts w:eastAsia="標楷體"/>
              </w:rPr>
              <w:t>0</w:t>
            </w:r>
          </w:p>
        </w:tc>
        <w:tc>
          <w:tcPr>
            <w:tcW w:w="102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w:t>
            </w:r>
            <w:r w:rsidR="00982C0A" w:rsidRPr="00AE0D77">
              <w:rPr>
                <w:rFonts w:eastAsia="標楷體"/>
              </w:rPr>
              <w:t>04</w:t>
            </w:r>
          </w:p>
        </w:tc>
        <w:tc>
          <w:tcPr>
            <w:tcW w:w="851" w:type="dxa"/>
            <w:tcBorders>
              <w:top w:val="nil"/>
              <w:left w:val="nil"/>
              <w:bottom w:val="nil"/>
              <w:right w:val="nil"/>
            </w:tcBorders>
            <w:vAlign w:val="center"/>
          </w:tcPr>
          <w:p w:rsidR="00FC4180" w:rsidRPr="00AE0D77" w:rsidRDefault="00FC4180" w:rsidP="00087024">
            <w:pPr>
              <w:pStyle w:val="ab"/>
              <w:spacing w:line="360" w:lineRule="exact"/>
              <w:ind w:rightChars="50" w:right="120"/>
              <w:rPr>
                <w:rFonts w:eastAsia="標楷體"/>
              </w:rPr>
            </w:pPr>
            <w:r w:rsidRPr="00AE0D77">
              <w:rPr>
                <w:rFonts w:eastAsia="標楷體"/>
              </w:rPr>
              <w:t>3.8</w:t>
            </w:r>
            <w:r w:rsidR="00982C0A" w:rsidRPr="00AE0D77">
              <w:rPr>
                <w:rFonts w:eastAsia="標楷體"/>
              </w:rPr>
              <w:t>4</w:t>
            </w:r>
          </w:p>
        </w:tc>
        <w:tc>
          <w:tcPr>
            <w:tcW w:w="1067"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w:t>
            </w:r>
            <w:r w:rsidR="00982C0A" w:rsidRPr="00AE0D77">
              <w:rPr>
                <w:rFonts w:eastAsia="標楷體"/>
              </w:rPr>
              <w:t>50</w:t>
            </w:r>
          </w:p>
        </w:tc>
        <w:tc>
          <w:tcPr>
            <w:tcW w:w="1070" w:type="dxa"/>
            <w:tcBorders>
              <w:top w:val="nil"/>
              <w:left w:val="nil"/>
              <w:bottom w:val="nil"/>
              <w:right w:val="nil"/>
            </w:tcBorders>
          </w:tcPr>
          <w:p w:rsidR="00FC4180" w:rsidRPr="00AE0D77" w:rsidRDefault="00FC4180" w:rsidP="00087024">
            <w:pPr>
              <w:pStyle w:val="ab"/>
              <w:spacing w:line="360" w:lineRule="exact"/>
              <w:ind w:rightChars="94" w:right="226"/>
              <w:rPr>
                <w:rFonts w:eastAsia="標楷體"/>
              </w:rPr>
            </w:pPr>
            <w:r w:rsidRPr="00AE0D77">
              <w:rPr>
                <w:rFonts w:eastAsia="標楷體"/>
              </w:rPr>
              <w:t>-1.</w:t>
            </w:r>
            <w:r w:rsidR="00982C0A" w:rsidRPr="00AE0D77">
              <w:rPr>
                <w:rFonts w:eastAsia="標楷體"/>
              </w:rPr>
              <w:t>48</w:t>
            </w:r>
          </w:p>
        </w:tc>
      </w:tr>
      <w:tr w:rsidR="00423E42" w:rsidRPr="00AE0D77" w:rsidTr="0099145A">
        <w:trPr>
          <w:gridAfter w:val="1"/>
          <w:wAfter w:w="46" w:type="dxa"/>
          <w:jc w:val="center"/>
        </w:trPr>
        <w:tc>
          <w:tcPr>
            <w:tcW w:w="1793" w:type="dxa"/>
            <w:tcBorders>
              <w:top w:val="nil"/>
              <w:left w:val="nil"/>
              <w:bottom w:val="single" w:sz="4" w:space="0" w:color="auto"/>
              <w:right w:val="single" w:sz="4" w:space="0" w:color="auto"/>
            </w:tcBorders>
          </w:tcPr>
          <w:p w:rsidR="00423E42" w:rsidRPr="00AE0D77" w:rsidRDefault="00423E42" w:rsidP="0099145A">
            <w:pPr>
              <w:spacing w:line="360" w:lineRule="exact"/>
              <w:ind w:right="284"/>
              <w:jc w:val="right"/>
              <w:rPr>
                <w:rFonts w:eastAsia="標楷體"/>
              </w:rPr>
            </w:pPr>
            <w:r w:rsidRPr="00AE0D77">
              <w:rPr>
                <w:rFonts w:eastAsia="標楷體"/>
              </w:rPr>
              <w:t>5</w:t>
            </w:r>
            <w:r w:rsidRPr="00AE0D77">
              <w:rPr>
                <w:rFonts w:eastAsia="標楷體"/>
              </w:rPr>
              <w:t>月</w:t>
            </w:r>
          </w:p>
        </w:tc>
        <w:tc>
          <w:tcPr>
            <w:tcW w:w="1103" w:type="dxa"/>
            <w:tcBorders>
              <w:top w:val="nil"/>
              <w:left w:val="single" w:sz="4" w:space="0" w:color="auto"/>
              <w:bottom w:val="single" w:sz="4" w:space="0" w:color="auto"/>
              <w:right w:val="nil"/>
            </w:tcBorders>
          </w:tcPr>
          <w:p w:rsidR="00423E42" w:rsidRPr="00AE0D77" w:rsidRDefault="00982C0A" w:rsidP="0099145A">
            <w:pPr>
              <w:pStyle w:val="ab"/>
              <w:spacing w:line="360" w:lineRule="exact"/>
              <w:ind w:rightChars="94" w:right="226"/>
              <w:rPr>
                <w:rFonts w:eastAsia="標楷體"/>
              </w:rPr>
            </w:pPr>
            <w:r w:rsidRPr="00AE0D77">
              <w:rPr>
                <w:rFonts w:eastAsia="標楷體"/>
              </w:rPr>
              <w:t>0.59</w:t>
            </w:r>
          </w:p>
        </w:tc>
        <w:tc>
          <w:tcPr>
            <w:tcW w:w="1045" w:type="dxa"/>
            <w:tcBorders>
              <w:top w:val="nil"/>
              <w:left w:val="nil"/>
              <w:bottom w:val="single" w:sz="4" w:space="0" w:color="auto"/>
              <w:right w:val="nil"/>
            </w:tcBorders>
            <w:vAlign w:val="center"/>
          </w:tcPr>
          <w:p w:rsidR="00423E42" w:rsidRPr="00AE0D77" w:rsidRDefault="00982C0A" w:rsidP="0099145A">
            <w:pPr>
              <w:pStyle w:val="ab"/>
              <w:spacing w:line="360" w:lineRule="exact"/>
              <w:ind w:rightChars="94" w:right="226"/>
              <w:rPr>
                <w:rFonts w:eastAsia="標楷體"/>
              </w:rPr>
            </w:pPr>
            <w:r w:rsidRPr="00AE0D77">
              <w:rPr>
                <w:rFonts w:eastAsia="標楷體"/>
              </w:rPr>
              <w:t>0.85</w:t>
            </w:r>
          </w:p>
        </w:tc>
        <w:tc>
          <w:tcPr>
            <w:tcW w:w="1154" w:type="dxa"/>
            <w:tcBorders>
              <w:top w:val="nil"/>
              <w:left w:val="nil"/>
              <w:bottom w:val="single" w:sz="4" w:space="0" w:color="auto"/>
              <w:right w:val="nil"/>
            </w:tcBorders>
            <w:vAlign w:val="center"/>
          </w:tcPr>
          <w:p w:rsidR="00423E42" w:rsidRPr="00AE0D77" w:rsidRDefault="00982C0A" w:rsidP="0099145A">
            <w:pPr>
              <w:pStyle w:val="ab"/>
              <w:spacing w:line="360" w:lineRule="exact"/>
              <w:ind w:rightChars="115" w:right="276"/>
              <w:rPr>
                <w:rFonts w:eastAsia="標楷體"/>
              </w:rPr>
            </w:pPr>
            <w:r w:rsidRPr="00AE0D77">
              <w:rPr>
                <w:rFonts w:eastAsia="標楷體"/>
              </w:rPr>
              <w:t>1.11</w:t>
            </w:r>
          </w:p>
        </w:tc>
        <w:tc>
          <w:tcPr>
            <w:tcW w:w="1027" w:type="dxa"/>
            <w:tcBorders>
              <w:top w:val="nil"/>
              <w:left w:val="nil"/>
              <w:bottom w:val="single" w:sz="4" w:space="0" w:color="auto"/>
              <w:right w:val="nil"/>
            </w:tcBorders>
          </w:tcPr>
          <w:p w:rsidR="00423E42" w:rsidRPr="00AE0D77" w:rsidRDefault="00423E42" w:rsidP="0099145A">
            <w:pPr>
              <w:pStyle w:val="ab"/>
              <w:spacing w:line="360" w:lineRule="exact"/>
              <w:ind w:rightChars="94" w:right="226"/>
              <w:rPr>
                <w:rFonts w:eastAsia="標楷體"/>
              </w:rPr>
            </w:pPr>
            <w:r w:rsidRPr="00AE0D77">
              <w:rPr>
                <w:rFonts w:eastAsia="標楷體"/>
              </w:rPr>
              <w:t>-</w:t>
            </w:r>
            <w:r w:rsidR="00982C0A" w:rsidRPr="00AE0D77">
              <w:rPr>
                <w:rFonts w:eastAsia="標楷體"/>
              </w:rPr>
              <w:t>1.12</w:t>
            </w:r>
          </w:p>
        </w:tc>
        <w:tc>
          <w:tcPr>
            <w:tcW w:w="851" w:type="dxa"/>
            <w:tcBorders>
              <w:top w:val="nil"/>
              <w:left w:val="nil"/>
              <w:bottom w:val="single" w:sz="4" w:space="0" w:color="auto"/>
              <w:right w:val="nil"/>
            </w:tcBorders>
            <w:vAlign w:val="center"/>
          </w:tcPr>
          <w:p w:rsidR="00423E42" w:rsidRPr="00AE0D77" w:rsidRDefault="00982C0A" w:rsidP="0099145A">
            <w:pPr>
              <w:pStyle w:val="ab"/>
              <w:spacing w:line="360" w:lineRule="exact"/>
              <w:ind w:rightChars="50" w:right="120"/>
              <w:rPr>
                <w:rFonts w:eastAsia="標楷體"/>
              </w:rPr>
            </w:pPr>
            <w:r w:rsidRPr="00AE0D77">
              <w:rPr>
                <w:rFonts w:eastAsia="標楷體"/>
              </w:rPr>
              <w:t>2.59</w:t>
            </w:r>
          </w:p>
        </w:tc>
        <w:tc>
          <w:tcPr>
            <w:tcW w:w="1067" w:type="dxa"/>
            <w:tcBorders>
              <w:top w:val="nil"/>
              <w:left w:val="nil"/>
              <w:bottom w:val="single" w:sz="4" w:space="0" w:color="auto"/>
              <w:right w:val="nil"/>
            </w:tcBorders>
          </w:tcPr>
          <w:p w:rsidR="00423E42" w:rsidRPr="00AE0D77" w:rsidRDefault="00423E42" w:rsidP="0099145A">
            <w:pPr>
              <w:pStyle w:val="ab"/>
              <w:spacing w:line="360" w:lineRule="exact"/>
              <w:ind w:rightChars="94" w:right="226"/>
              <w:rPr>
                <w:rFonts w:eastAsia="標楷體"/>
              </w:rPr>
            </w:pPr>
            <w:r w:rsidRPr="00AE0D77">
              <w:rPr>
                <w:rFonts w:eastAsia="標楷體"/>
              </w:rPr>
              <w:t>-</w:t>
            </w:r>
            <w:r w:rsidR="00982C0A" w:rsidRPr="00AE0D77">
              <w:rPr>
                <w:rFonts w:eastAsia="標楷體"/>
              </w:rPr>
              <w:t>1.91</w:t>
            </w:r>
          </w:p>
        </w:tc>
        <w:tc>
          <w:tcPr>
            <w:tcW w:w="1070" w:type="dxa"/>
            <w:tcBorders>
              <w:top w:val="nil"/>
              <w:left w:val="nil"/>
              <w:bottom w:val="single" w:sz="4" w:space="0" w:color="auto"/>
              <w:right w:val="nil"/>
            </w:tcBorders>
          </w:tcPr>
          <w:p w:rsidR="00423E42" w:rsidRPr="00AE0D77" w:rsidRDefault="00423E42" w:rsidP="0099145A">
            <w:pPr>
              <w:pStyle w:val="ab"/>
              <w:spacing w:line="360" w:lineRule="exact"/>
              <w:ind w:rightChars="94" w:right="226"/>
              <w:rPr>
                <w:rFonts w:eastAsia="標楷體"/>
              </w:rPr>
            </w:pPr>
            <w:r w:rsidRPr="00AE0D77">
              <w:rPr>
                <w:rFonts w:eastAsia="標楷體"/>
              </w:rPr>
              <w:t>-</w:t>
            </w:r>
            <w:r w:rsidR="00982C0A" w:rsidRPr="00AE0D77">
              <w:rPr>
                <w:rFonts w:eastAsia="標楷體"/>
              </w:rPr>
              <w:t>3.38</w:t>
            </w:r>
          </w:p>
        </w:tc>
      </w:tr>
    </w:tbl>
    <w:p w:rsidR="00423E42" w:rsidRPr="00AE0D77" w:rsidRDefault="00423E42" w:rsidP="00423E42">
      <w:pPr>
        <w:snapToGrid w:val="0"/>
        <w:ind w:rightChars="-59" w:right="-142"/>
        <w:rPr>
          <w:rFonts w:eastAsia="標楷體"/>
          <w:b/>
          <w:bCs/>
          <w:sz w:val="28"/>
        </w:rPr>
      </w:pPr>
      <w:r w:rsidRPr="00AE0D77">
        <w:rPr>
          <w:rFonts w:eastAsia="標楷體"/>
          <w:kern w:val="0"/>
          <w:sz w:val="22"/>
          <w:szCs w:val="22"/>
        </w:rPr>
        <w:t>資料來源：行政院主計總處。</w:t>
      </w:r>
    </w:p>
    <w:p w:rsidR="00423E42" w:rsidRPr="00AE0D77" w:rsidRDefault="00423E42" w:rsidP="00423E42">
      <w:pPr>
        <w:snapToGrid w:val="0"/>
        <w:ind w:rightChars="-59" w:right="-142"/>
        <w:rPr>
          <w:rFonts w:eastAsia="標楷體"/>
          <w:b/>
          <w:bCs/>
          <w:sz w:val="28"/>
        </w:rPr>
      </w:pPr>
    </w:p>
    <w:p w:rsidR="00423E42" w:rsidRPr="00AE0D77" w:rsidRDefault="00423E42" w:rsidP="00423E42">
      <w:pPr>
        <w:snapToGrid w:val="0"/>
        <w:spacing w:line="300" w:lineRule="auto"/>
        <w:ind w:rightChars="-59" w:right="-142"/>
        <w:jc w:val="center"/>
        <w:rPr>
          <w:rFonts w:eastAsia="標楷體"/>
          <w:b/>
          <w:snapToGrid w:val="0"/>
          <w:sz w:val="28"/>
        </w:rPr>
      </w:pPr>
    </w:p>
    <w:p w:rsidR="00423E42" w:rsidRPr="00AE0D77" w:rsidRDefault="00423E42" w:rsidP="00423E42">
      <w:pPr>
        <w:snapToGrid w:val="0"/>
        <w:ind w:rightChars="-59" w:right="-142"/>
        <w:jc w:val="right"/>
        <w:rPr>
          <w:rFonts w:eastAsia="標楷體"/>
          <w:snapToGrid w:val="0"/>
          <w:sz w:val="22"/>
          <w:szCs w:val="22"/>
        </w:rPr>
      </w:pPr>
    </w:p>
    <w:p w:rsidR="00423E42" w:rsidRPr="00AE0D77" w:rsidRDefault="00423E42" w:rsidP="00423E42">
      <w:pPr>
        <w:pStyle w:val="af"/>
        <w:snapToGrid w:val="0"/>
        <w:spacing w:line="300" w:lineRule="auto"/>
        <w:ind w:leftChars="0" w:left="0" w:firstLineChars="0" w:firstLine="0"/>
        <w:jc w:val="center"/>
        <w:rPr>
          <w:b/>
          <w:bCs/>
          <w:sz w:val="28"/>
        </w:rPr>
      </w:pPr>
      <w:r w:rsidRPr="00AE0D77">
        <w:rPr>
          <w:b/>
          <w:bCs/>
          <w:sz w:val="28"/>
        </w:rPr>
        <w:t>圖</w:t>
      </w:r>
      <w:r w:rsidRPr="00AE0D77">
        <w:rPr>
          <w:b/>
          <w:bCs/>
          <w:sz w:val="28"/>
        </w:rPr>
        <w:t xml:space="preserve"> 2-7-2  </w:t>
      </w:r>
      <w:r w:rsidRPr="00AE0D77">
        <w:rPr>
          <w:b/>
          <w:bCs/>
          <w:sz w:val="28"/>
        </w:rPr>
        <w:t>進出口物價指數變動率</w:t>
      </w:r>
    </w:p>
    <w:p w:rsidR="00423E42" w:rsidRPr="00AE0D77" w:rsidRDefault="00D325DC" w:rsidP="00423E42">
      <w:pPr>
        <w:snapToGrid w:val="0"/>
        <w:rPr>
          <w:rFonts w:eastAsia="標楷體"/>
          <w:sz w:val="28"/>
        </w:rPr>
      </w:pPr>
      <w:r w:rsidRPr="00AE0D77">
        <w:rPr>
          <w:rFonts w:eastAsia="標楷體"/>
          <w:noProof/>
        </w:rPr>
        <w:drawing>
          <wp:inline distT="0" distB="0" distL="0" distR="0" wp14:anchorId="56EA40F6" wp14:editId="73CB0B36">
            <wp:extent cx="5396865" cy="2180590"/>
            <wp:effectExtent l="0" t="0" r="0" b="0"/>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3E42" w:rsidRPr="00AE0D77" w:rsidRDefault="00423E42" w:rsidP="00423E42">
      <w:pPr>
        <w:snapToGrid w:val="0"/>
        <w:rPr>
          <w:rFonts w:eastAsia="標楷體"/>
          <w:snapToGrid w:val="0"/>
          <w:sz w:val="22"/>
          <w:szCs w:val="22"/>
        </w:rPr>
      </w:pPr>
      <w:r w:rsidRPr="00AE0D77">
        <w:rPr>
          <w:rFonts w:eastAsia="標楷體"/>
          <w:sz w:val="22"/>
          <w:szCs w:val="22"/>
        </w:rPr>
        <w:t>資料來源：</w:t>
      </w:r>
      <w:r w:rsidRPr="00AE0D77">
        <w:rPr>
          <w:rFonts w:eastAsia="標楷體"/>
          <w:snapToGrid w:val="0"/>
          <w:sz w:val="22"/>
          <w:szCs w:val="22"/>
        </w:rPr>
        <w:t>行政院主計總處。</w:t>
      </w:r>
    </w:p>
    <w:p w:rsidR="00423E42" w:rsidRPr="00AE0D77" w:rsidRDefault="00423E42" w:rsidP="00423E42">
      <w:pPr>
        <w:pStyle w:val="k3a"/>
        <w:spacing w:beforeLines="100" w:before="360" w:line="240" w:lineRule="atLeast"/>
        <w:ind w:leftChars="0" w:left="0" w:firstLineChars="0" w:firstLine="0"/>
        <w:jc w:val="center"/>
        <w:rPr>
          <w:b/>
          <w:snapToGrid w:val="0"/>
          <w:kern w:val="2"/>
          <w:szCs w:val="24"/>
        </w:rPr>
      </w:pPr>
      <w:r w:rsidRPr="00AE0D77">
        <w:rPr>
          <w:b/>
          <w:snapToGrid w:val="0"/>
          <w:kern w:val="2"/>
          <w:szCs w:val="24"/>
        </w:rPr>
        <w:t>表</w:t>
      </w:r>
      <w:r w:rsidRPr="00AE0D77">
        <w:rPr>
          <w:b/>
          <w:snapToGrid w:val="0"/>
          <w:kern w:val="2"/>
          <w:szCs w:val="24"/>
        </w:rPr>
        <w:t xml:space="preserve"> 2-7-2  </w:t>
      </w:r>
      <w:r w:rsidRPr="00AE0D77">
        <w:rPr>
          <w:b/>
          <w:snapToGrid w:val="0"/>
          <w:kern w:val="2"/>
          <w:szCs w:val="24"/>
        </w:rPr>
        <w:t>消費者物價指數依性質別分類之變動率</w:t>
      </w:r>
    </w:p>
    <w:p w:rsidR="00423E42" w:rsidRPr="00AE0D77" w:rsidRDefault="00423E42" w:rsidP="00423E42">
      <w:pPr>
        <w:pStyle w:val="k3a"/>
        <w:spacing w:before="180" w:line="240" w:lineRule="atLeast"/>
        <w:ind w:leftChars="0" w:left="0" w:firstLineChars="0" w:firstLine="0"/>
        <w:jc w:val="right"/>
        <w:rPr>
          <w:snapToGrid w:val="0"/>
          <w:kern w:val="2"/>
          <w:sz w:val="24"/>
          <w:szCs w:val="24"/>
        </w:rPr>
      </w:pPr>
      <w:r w:rsidRPr="00AE0D77">
        <w:rPr>
          <w:b/>
          <w:snapToGrid w:val="0"/>
          <w:kern w:val="2"/>
          <w:szCs w:val="24"/>
        </w:rPr>
        <w:t xml:space="preserve"> </w:t>
      </w:r>
      <w:r w:rsidRPr="00AE0D77">
        <w:rPr>
          <w:snapToGrid w:val="0"/>
          <w:kern w:val="2"/>
          <w:sz w:val="22"/>
          <w:szCs w:val="24"/>
        </w:rPr>
        <w:t>單位：</w:t>
      </w:r>
      <w:r w:rsidRPr="00AE0D77">
        <w:rPr>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423E42" w:rsidRPr="00AE0D77" w:rsidTr="0099145A">
        <w:trPr>
          <w:cantSplit/>
          <w:jc w:val="center"/>
        </w:trPr>
        <w:tc>
          <w:tcPr>
            <w:tcW w:w="959" w:type="pct"/>
            <w:vMerge w:val="restart"/>
            <w:tcBorders>
              <w:top w:val="single" w:sz="6" w:space="0" w:color="auto"/>
              <w:right w:val="single" w:sz="6" w:space="0" w:color="auto"/>
            </w:tcBorders>
            <w:vAlign w:val="center"/>
          </w:tcPr>
          <w:p w:rsidR="00423E42" w:rsidRPr="00AE0D77" w:rsidRDefault="00423E42" w:rsidP="0099145A">
            <w:pPr>
              <w:snapToGrid w:val="0"/>
              <w:spacing w:line="320" w:lineRule="exact"/>
              <w:jc w:val="center"/>
              <w:rPr>
                <w:rFonts w:eastAsia="標楷體"/>
                <w:snapToGrid w:val="0"/>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4041" w:type="pct"/>
            <w:gridSpan w:val="6"/>
            <w:tcBorders>
              <w:top w:val="single" w:sz="6" w:space="0" w:color="auto"/>
              <w:left w:val="single" w:sz="6" w:space="0" w:color="auto"/>
            </w:tcBorders>
          </w:tcPr>
          <w:p w:rsidR="00423E42" w:rsidRPr="00AE0D77" w:rsidRDefault="00423E42" w:rsidP="0099145A">
            <w:pPr>
              <w:snapToGrid w:val="0"/>
              <w:spacing w:line="320" w:lineRule="exact"/>
              <w:jc w:val="both"/>
              <w:rPr>
                <w:rFonts w:eastAsia="標楷體"/>
                <w:snapToGrid w:val="0"/>
              </w:rPr>
            </w:pPr>
            <w:r w:rsidRPr="00AE0D77">
              <w:rPr>
                <w:rFonts w:eastAsia="標楷體"/>
                <w:snapToGrid w:val="0"/>
              </w:rPr>
              <w:t>消費者物價指數</w:t>
            </w:r>
          </w:p>
        </w:tc>
      </w:tr>
      <w:tr w:rsidR="00423E42" w:rsidRPr="00AE0D77" w:rsidTr="0099145A">
        <w:trPr>
          <w:cantSplit/>
          <w:jc w:val="center"/>
        </w:trPr>
        <w:tc>
          <w:tcPr>
            <w:tcW w:w="959" w:type="pct"/>
            <w:vMerge/>
            <w:tcBorders>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r w:rsidRPr="00AE0D77">
              <w:rPr>
                <w:rFonts w:eastAsia="標楷體"/>
                <w:snapToGrid w:val="0"/>
              </w:rPr>
              <w:t>商品</w:t>
            </w:r>
          </w:p>
        </w:tc>
        <w:tc>
          <w:tcPr>
            <w:tcW w:w="2146" w:type="pct"/>
            <w:gridSpan w:val="3"/>
            <w:tcBorders>
              <w:top w:val="single" w:sz="6" w:space="0" w:color="auto"/>
              <w:left w:val="single" w:sz="6" w:space="0" w:color="auto"/>
            </w:tcBorders>
          </w:tcPr>
          <w:p w:rsidR="00423E42" w:rsidRPr="00AE0D77" w:rsidRDefault="00423E42" w:rsidP="0099145A">
            <w:pPr>
              <w:snapToGrid w:val="0"/>
              <w:spacing w:line="320" w:lineRule="exact"/>
              <w:jc w:val="both"/>
              <w:rPr>
                <w:rFonts w:eastAsia="標楷體"/>
                <w:snapToGrid w:val="0"/>
              </w:rPr>
            </w:pPr>
            <w:r w:rsidRPr="00AE0D77">
              <w:rPr>
                <w:rFonts w:eastAsia="標楷體"/>
                <w:snapToGrid w:val="0"/>
              </w:rPr>
              <w:t>服務</w:t>
            </w:r>
          </w:p>
        </w:tc>
      </w:tr>
      <w:tr w:rsidR="00423E42" w:rsidRPr="00AE0D77" w:rsidTr="0099145A">
        <w:trPr>
          <w:cantSplit/>
          <w:jc w:val="center"/>
        </w:trPr>
        <w:tc>
          <w:tcPr>
            <w:tcW w:w="959" w:type="pct"/>
            <w:vMerge/>
            <w:tcBorders>
              <w:bottom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center"/>
              <w:rPr>
                <w:rFonts w:eastAsia="標楷體"/>
                <w:snapToGrid w:val="0"/>
              </w:rPr>
            </w:pPr>
            <w:r w:rsidRPr="00AE0D7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423E42" w:rsidRPr="00AE0D77" w:rsidRDefault="00423E42" w:rsidP="0099145A">
            <w:pPr>
              <w:snapToGrid w:val="0"/>
              <w:spacing w:line="320" w:lineRule="exact"/>
              <w:jc w:val="center"/>
              <w:rPr>
                <w:rFonts w:eastAsia="標楷體"/>
                <w:snapToGrid w:val="0"/>
              </w:rPr>
            </w:pPr>
            <w:r w:rsidRPr="00AE0D77">
              <w:rPr>
                <w:rFonts w:eastAsia="標楷體"/>
                <w:snapToGrid w:val="0"/>
              </w:rPr>
              <w:t>居住服務</w:t>
            </w:r>
          </w:p>
        </w:tc>
        <w:tc>
          <w:tcPr>
            <w:tcW w:w="1014" w:type="pct"/>
            <w:tcBorders>
              <w:top w:val="single" w:sz="6" w:space="0" w:color="auto"/>
              <w:left w:val="single" w:sz="6" w:space="0" w:color="auto"/>
              <w:bottom w:val="single" w:sz="6" w:space="0" w:color="auto"/>
            </w:tcBorders>
          </w:tcPr>
          <w:p w:rsidR="00423E42" w:rsidRPr="00AE0D77" w:rsidRDefault="00423E42" w:rsidP="0099145A">
            <w:pPr>
              <w:snapToGrid w:val="0"/>
              <w:spacing w:line="320" w:lineRule="exact"/>
              <w:jc w:val="center"/>
              <w:rPr>
                <w:rFonts w:eastAsia="標楷體"/>
                <w:snapToGrid w:val="0"/>
              </w:rPr>
            </w:pPr>
            <w:r w:rsidRPr="00AE0D77">
              <w:rPr>
                <w:rFonts w:eastAsia="標楷體"/>
                <w:snapToGrid w:val="0"/>
              </w:rPr>
              <w:t>交通及通訊服務</w:t>
            </w:r>
          </w:p>
        </w:tc>
      </w:tr>
      <w:tr w:rsidR="00C557CA" w:rsidRPr="00AE0D77" w:rsidTr="0074591B">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b/>
                <w:bCs/>
                <w:snapToGrid w:val="0"/>
              </w:rPr>
            </w:pPr>
            <w:r w:rsidRPr="00AE0D77">
              <w:rPr>
                <w:rFonts w:eastAsia="標楷體"/>
                <w:b/>
                <w:bCs/>
                <w:snapToGrid w:val="0"/>
              </w:rPr>
              <w:t xml:space="preserve">   101</w:t>
            </w:r>
            <w:r w:rsidRPr="00AE0D77">
              <w:rPr>
                <w:rFonts w:eastAsia="標楷體"/>
                <w:b/>
                <w:bCs/>
                <w:snapToGrid w:val="0"/>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1.93</w:t>
            </w:r>
          </w:p>
        </w:tc>
        <w:tc>
          <w:tcPr>
            <w:tcW w:w="502" w:type="pct"/>
            <w:vAlign w:val="center"/>
          </w:tcPr>
          <w:p w:rsidR="00C557CA" w:rsidRPr="00AE0D77" w:rsidRDefault="00C557CA" w:rsidP="0074591B">
            <w:pPr>
              <w:snapToGrid w:val="0"/>
              <w:spacing w:line="340" w:lineRule="exact"/>
              <w:ind w:rightChars="50" w:right="120"/>
              <w:jc w:val="right"/>
              <w:rPr>
                <w:rFonts w:eastAsia="標楷體"/>
                <w:b/>
                <w:bCs/>
              </w:rPr>
            </w:pPr>
            <w:r w:rsidRPr="00AE0D77">
              <w:rPr>
                <w:rFonts w:eastAsia="標楷體"/>
                <w:b/>
                <w:bCs/>
              </w:rPr>
              <w:t>3.38</w:t>
            </w:r>
          </w:p>
        </w:tc>
        <w:tc>
          <w:tcPr>
            <w:tcW w:w="890" w:type="pct"/>
            <w:vAlign w:val="center"/>
          </w:tcPr>
          <w:p w:rsidR="00C557CA" w:rsidRPr="00AE0D77" w:rsidRDefault="00C557CA" w:rsidP="0074591B">
            <w:pPr>
              <w:snapToGrid w:val="0"/>
              <w:spacing w:line="340" w:lineRule="exact"/>
              <w:ind w:rightChars="200" w:right="480"/>
              <w:jc w:val="right"/>
              <w:rPr>
                <w:rFonts w:eastAsia="標楷體"/>
                <w:b/>
                <w:bCs/>
                <w:snapToGrid w:val="0"/>
              </w:rPr>
            </w:pPr>
            <w:r w:rsidRPr="00AE0D77">
              <w:rPr>
                <w:rFonts w:eastAsia="標楷體"/>
                <w:b/>
                <w:bCs/>
                <w:snapToGrid w:val="0"/>
              </w:rPr>
              <w:t>-0.30</w:t>
            </w:r>
          </w:p>
        </w:tc>
        <w:tc>
          <w:tcPr>
            <w:tcW w:w="502" w:type="pct"/>
            <w:vAlign w:val="center"/>
          </w:tcPr>
          <w:p w:rsidR="00C557CA" w:rsidRPr="00AE0D77" w:rsidRDefault="00C557CA" w:rsidP="0074591B">
            <w:pPr>
              <w:pStyle w:val="ab"/>
              <w:spacing w:line="360" w:lineRule="exact"/>
              <w:ind w:rightChars="50" w:right="120"/>
              <w:rPr>
                <w:rFonts w:eastAsia="標楷體"/>
                <w:b/>
              </w:rPr>
            </w:pPr>
            <w:r w:rsidRPr="00AE0D77">
              <w:rPr>
                <w:rFonts w:eastAsia="標楷體"/>
                <w:b/>
              </w:rPr>
              <w:t>0.75</w:t>
            </w:r>
          </w:p>
        </w:tc>
        <w:tc>
          <w:tcPr>
            <w:tcW w:w="631" w:type="pct"/>
            <w:vAlign w:val="center"/>
          </w:tcPr>
          <w:p w:rsidR="00C557CA" w:rsidRPr="00AE0D77" w:rsidRDefault="00C557CA" w:rsidP="0074591B">
            <w:pPr>
              <w:snapToGrid w:val="0"/>
              <w:spacing w:line="340" w:lineRule="exact"/>
              <w:ind w:rightChars="84" w:right="202"/>
              <w:jc w:val="right"/>
              <w:rPr>
                <w:rFonts w:eastAsia="標楷體"/>
                <w:b/>
                <w:bCs/>
              </w:rPr>
            </w:pPr>
            <w:r w:rsidRPr="00AE0D77">
              <w:rPr>
                <w:rFonts w:eastAsia="標楷體"/>
                <w:b/>
                <w:bCs/>
              </w:rPr>
              <w:t>0.55</w:t>
            </w:r>
          </w:p>
        </w:tc>
        <w:tc>
          <w:tcPr>
            <w:tcW w:w="1014" w:type="pct"/>
            <w:vAlign w:val="center"/>
          </w:tcPr>
          <w:p w:rsidR="00C557CA" w:rsidRPr="00AE0D77" w:rsidRDefault="00C557CA" w:rsidP="0074591B">
            <w:pPr>
              <w:snapToGrid w:val="0"/>
              <w:spacing w:line="340" w:lineRule="exact"/>
              <w:ind w:rightChars="278" w:right="667"/>
              <w:jc w:val="right"/>
              <w:rPr>
                <w:rFonts w:eastAsia="標楷體"/>
                <w:b/>
                <w:bCs/>
              </w:rPr>
            </w:pPr>
            <w:r w:rsidRPr="00AE0D77">
              <w:rPr>
                <w:rFonts w:eastAsia="標楷體"/>
                <w:b/>
                <w:bCs/>
              </w:rPr>
              <w:t>-2.35</w:t>
            </w:r>
          </w:p>
        </w:tc>
      </w:tr>
      <w:tr w:rsidR="00C557CA" w:rsidRPr="00AE0D77" w:rsidTr="0074591B">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b/>
                <w:bCs/>
                <w:snapToGrid w:val="0"/>
              </w:rPr>
            </w:pPr>
            <w:r w:rsidRPr="00AE0D77">
              <w:rPr>
                <w:rFonts w:eastAsia="標楷體"/>
                <w:b/>
                <w:bCs/>
                <w:snapToGrid w:val="0"/>
              </w:rPr>
              <w:t>102</w:t>
            </w:r>
            <w:r w:rsidRPr="00AE0D77">
              <w:rPr>
                <w:rFonts w:eastAsia="標楷體"/>
                <w:b/>
                <w:bCs/>
                <w:snapToGrid w:val="0"/>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0" w:right="120"/>
              <w:rPr>
                <w:rFonts w:eastAsia="標楷體"/>
                <w:b/>
              </w:rPr>
            </w:pPr>
            <w:r w:rsidRPr="00AE0D77">
              <w:rPr>
                <w:rFonts w:eastAsia="標楷體"/>
                <w:b/>
              </w:rPr>
              <w:t>0.79</w:t>
            </w:r>
          </w:p>
        </w:tc>
        <w:tc>
          <w:tcPr>
            <w:tcW w:w="502" w:type="pct"/>
            <w:vAlign w:val="center"/>
          </w:tcPr>
          <w:p w:rsidR="00C557CA" w:rsidRPr="00AE0D77" w:rsidRDefault="00C557CA" w:rsidP="0074591B">
            <w:pPr>
              <w:pStyle w:val="ab"/>
              <w:spacing w:line="360" w:lineRule="exact"/>
              <w:ind w:rightChars="50" w:right="120"/>
              <w:rPr>
                <w:rFonts w:eastAsia="標楷體"/>
                <w:b/>
              </w:rPr>
            </w:pPr>
            <w:r w:rsidRPr="00AE0D77">
              <w:rPr>
                <w:rFonts w:eastAsia="標楷體"/>
                <w:b/>
              </w:rPr>
              <w:t>0.78</w:t>
            </w:r>
          </w:p>
        </w:tc>
        <w:tc>
          <w:tcPr>
            <w:tcW w:w="890" w:type="pct"/>
            <w:vAlign w:val="center"/>
          </w:tcPr>
          <w:p w:rsidR="00C557CA" w:rsidRPr="00AE0D77" w:rsidRDefault="00C557CA" w:rsidP="0074591B">
            <w:pPr>
              <w:snapToGrid w:val="0"/>
              <w:spacing w:line="340" w:lineRule="exact"/>
              <w:ind w:rightChars="200" w:right="480"/>
              <w:jc w:val="right"/>
              <w:rPr>
                <w:rFonts w:eastAsia="標楷體"/>
                <w:b/>
                <w:snapToGrid w:val="0"/>
              </w:rPr>
            </w:pPr>
            <w:r w:rsidRPr="00AE0D77">
              <w:rPr>
                <w:rFonts w:eastAsia="標楷體"/>
                <w:b/>
                <w:snapToGrid w:val="0"/>
              </w:rPr>
              <w:t>-1.84</w:t>
            </w:r>
          </w:p>
        </w:tc>
        <w:tc>
          <w:tcPr>
            <w:tcW w:w="502" w:type="pct"/>
            <w:vAlign w:val="center"/>
          </w:tcPr>
          <w:p w:rsidR="00C557CA" w:rsidRPr="00AE0D77" w:rsidRDefault="00C557CA" w:rsidP="0074591B">
            <w:pPr>
              <w:pStyle w:val="ab"/>
              <w:spacing w:line="360" w:lineRule="exact"/>
              <w:ind w:rightChars="50" w:right="120"/>
              <w:rPr>
                <w:rFonts w:eastAsia="標楷體"/>
                <w:b/>
              </w:rPr>
            </w:pPr>
            <w:r w:rsidRPr="00AE0D77">
              <w:rPr>
                <w:rFonts w:eastAsia="標楷體"/>
                <w:b/>
              </w:rPr>
              <w:t>0.73</w:t>
            </w:r>
          </w:p>
        </w:tc>
        <w:tc>
          <w:tcPr>
            <w:tcW w:w="631" w:type="pct"/>
          </w:tcPr>
          <w:p w:rsidR="00C557CA" w:rsidRPr="00AE0D77" w:rsidRDefault="00C557CA" w:rsidP="0074591B">
            <w:pPr>
              <w:snapToGrid w:val="0"/>
              <w:spacing w:line="340" w:lineRule="exact"/>
              <w:ind w:rightChars="84" w:right="202"/>
              <w:jc w:val="right"/>
              <w:rPr>
                <w:rFonts w:eastAsia="標楷體"/>
                <w:b/>
              </w:rPr>
            </w:pPr>
            <w:r w:rsidRPr="00AE0D77">
              <w:rPr>
                <w:rFonts w:eastAsia="標楷體"/>
                <w:b/>
              </w:rPr>
              <w:t>0.62</w:t>
            </w:r>
          </w:p>
        </w:tc>
        <w:tc>
          <w:tcPr>
            <w:tcW w:w="1014" w:type="pct"/>
            <w:vAlign w:val="center"/>
          </w:tcPr>
          <w:p w:rsidR="00C557CA" w:rsidRPr="00AE0D77" w:rsidRDefault="00C557CA" w:rsidP="0074591B">
            <w:pPr>
              <w:snapToGrid w:val="0"/>
              <w:spacing w:line="340" w:lineRule="exact"/>
              <w:ind w:rightChars="278" w:right="667"/>
              <w:jc w:val="right"/>
              <w:rPr>
                <w:rFonts w:eastAsia="標楷體"/>
                <w:b/>
              </w:rPr>
            </w:pPr>
            <w:r w:rsidRPr="00AE0D77">
              <w:rPr>
                <w:rFonts w:eastAsia="標楷體"/>
                <w:b/>
              </w:rPr>
              <w:t>-0.31</w:t>
            </w:r>
          </w:p>
        </w:tc>
      </w:tr>
      <w:tr w:rsidR="00C557CA" w:rsidRPr="00AE0D77" w:rsidTr="0074591B">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rPr>
            </w:pPr>
            <w:r w:rsidRPr="00AE0D77">
              <w:rPr>
                <w:rFonts w:eastAsia="標楷體"/>
                <w:b/>
                <w:bCs/>
                <w:snapToGrid w:val="0"/>
              </w:rPr>
              <w:t>103</w:t>
            </w:r>
            <w:r w:rsidRPr="00AE0D77">
              <w:rPr>
                <w:rFonts w:eastAsia="標楷體"/>
                <w:b/>
                <w:bCs/>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1.20</w:t>
            </w:r>
          </w:p>
        </w:tc>
        <w:tc>
          <w:tcPr>
            <w:tcW w:w="502" w:type="pct"/>
            <w:vAlign w:val="center"/>
          </w:tcPr>
          <w:p w:rsidR="00C557CA" w:rsidRPr="00AE0D77" w:rsidRDefault="00C557CA" w:rsidP="0074591B">
            <w:pPr>
              <w:snapToGrid w:val="0"/>
              <w:spacing w:line="340" w:lineRule="exact"/>
              <w:ind w:rightChars="50" w:right="120"/>
              <w:jc w:val="right"/>
              <w:rPr>
                <w:rFonts w:eastAsia="標楷體"/>
                <w:b/>
                <w:bCs/>
              </w:rPr>
            </w:pPr>
            <w:r w:rsidRPr="00AE0D77">
              <w:rPr>
                <w:rFonts w:eastAsia="標楷體"/>
                <w:b/>
                <w:bCs/>
              </w:rPr>
              <w:t>1.25</w:t>
            </w:r>
          </w:p>
        </w:tc>
        <w:tc>
          <w:tcPr>
            <w:tcW w:w="890" w:type="pct"/>
            <w:vAlign w:val="center"/>
          </w:tcPr>
          <w:p w:rsidR="00C557CA" w:rsidRPr="00AE0D77" w:rsidRDefault="00C557CA" w:rsidP="0074591B">
            <w:pPr>
              <w:snapToGrid w:val="0"/>
              <w:spacing w:line="340" w:lineRule="exact"/>
              <w:ind w:rightChars="200" w:right="480"/>
              <w:jc w:val="right"/>
              <w:rPr>
                <w:rFonts w:eastAsia="標楷體"/>
                <w:b/>
                <w:bCs/>
                <w:snapToGrid w:val="0"/>
              </w:rPr>
            </w:pPr>
            <w:r w:rsidRPr="00AE0D77">
              <w:rPr>
                <w:rFonts w:eastAsia="標楷體"/>
                <w:b/>
                <w:bCs/>
                <w:snapToGrid w:val="0"/>
              </w:rPr>
              <w:t>-1.92</w:t>
            </w:r>
          </w:p>
        </w:tc>
        <w:tc>
          <w:tcPr>
            <w:tcW w:w="502" w:type="pct"/>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1.16</w:t>
            </w:r>
          </w:p>
        </w:tc>
        <w:tc>
          <w:tcPr>
            <w:tcW w:w="631" w:type="pct"/>
            <w:vAlign w:val="center"/>
          </w:tcPr>
          <w:p w:rsidR="00C557CA" w:rsidRPr="00AE0D77" w:rsidRDefault="00C557CA" w:rsidP="0074591B">
            <w:pPr>
              <w:snapToGrid w:val="0"/>
              <w:spacing w:line="340" w:lineRule="exact"/>
              <w:ind w:rightChars="84" w:right="202"/>
              <w:jc w:val="right"/>
              <w:rPr>
                <w:rFonts w:eastAsia="標楷體"/>
                <w:b/>
                <w:bCs/>
              </w:rPr>
            </w:pPr>
            <w:r w:rsidRPr="00AE0D77">
              <w:rPr>
                <w:rFonts w:eastAsia="標楷體"/>
                <w:b/>
                <w:bCs/>
              </w:rPr>
              <w:t>0.73</w:t>
            </w:r>
          </w:p>
        </w:tc>
        <w:tc>
          <w:tcPr>
            <w:tcW w:w="1014" w:type="pct"/>
            <w:vAlign w:val="center"/>
          </w:tcPr>
          <w:p w:rsidR="00C557CA" w:rsidRPr="00AE0D77" w:rsidRDefault="00C557CA" w:rsidP="0074591B">
            <w:pPr>
              <w:snapToGrid w:val="0"/>
              <w:spacing w:line="340" w:lineRule="exact"/>
              <w:ind w:rightChars="278" w:right="667"/>
              <w:jc w:val="right"/>
              <w:rPr>
                <w:rFonts w:eastAsia="標楷體"/>
                <w:b/>
                <w:bCs/>
              </w:rPr>
            </w:pPr>
            <w:r w:rsidRPr="00AE0D77">
              <w:rPr>
                <w:rFonts w:eastAsia="標楷體"/>
                <w:b/>
                <w:bCs/>
              </w:rPr>
              <w:t>-0.15</w:t>
            </w:r>
          </w:p>
        </w:tc>
      </w:tr>
      <w:tr w:rsidR="00C557CA" w:rsidRPr="00AE0D77" w:rsidTr="0099145A">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rPr>
            </w:pPr>
            <w:r w:rsidRPr="00AE0D77">
              <w:rPr>
                <w:rFonts w:eastAsia="標楷體"/>
                <w:b/>
                <w:bCs/>
                <w:snapToGrid w:val="0"/>
              </w:rPr>
              <w:t>104</w:t>
            </w:r>
            <w:r w:rsidRPr="00AE0D77">
              <w:rPr>
                <w:rFonts w:eastAsia="標楷體"/>
                <w:b/>
                <w:bCs/>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b/>
              </w:rPr>
            </w:pPr>
            <w:r w:rsidRPr="00AE0D77">
              <w:rPr>
                <w:rFonts w:eastAsia="標楷體"/>
                <w:b/>
              </w:rPr>
              <w:t>-0.31</w:t>
            </w:r>
          </w:p>
        </w:tc>
        <w:tc>
          <w:tcPr>
            <w:tcW w:w="502" w:type="pct"/>
            <w:vAlign w:val="center"/>
          </w:tcPr>
          <w:p w:rsidR="00C557CA" w:rsidRPr="00AE0D77" w:rsidRDefault="00C557CA" w:rsidP="0074591B">
            <w:pPr>
              <w:snapToGrid w:val="0"/>
              <w:spacing w:line="340" w:lineRule="exact"/>
              <w:ind w:rightChars="50" w:right="120"/>
              <w:jc w:val="right"/>
              <w:rPr>
                <w:rFonts w:eastAsia="標楷體"/>
                <w:b/>
                <w:bCs/>
              </w:rPr>
            </w:pPr>
            <w:r w:rsidRPr="00AE0D77">
              <w:rPr>
                <w:rFonts w:eastAsia="標楷體"/>
                <w:b/>
                <w:bCs/>
              </w:rPr>
              <w:t>-1.99</w:t>
            </w:r>
          </w:p>
        </w:tc>
        <w:tc>
          <w:tcPr>
            <w:tcW w:w="890" w:type="pct"/>
            <w:vAlign w:val="center"/>
          </w:tcPr>
          <w:p w:rsidR="00C557CA" w:rsidRPr="00AE0D77" w:rsidRDefault="00C557CA" w:rsidP="0074591B">
            <w:pPr>
              <w:snapToGrid w:val="0"/>
              <w:spacing w:line="340" w:lineRule="exact"/>
              <w:ind w:rightChars="200" w:right="480"/>
              <w:jc w:val="right"/>
              <w:rPr>
                <w:rFonts w:eastAsia="標楷體"/>
                <w:b/>
                <w:bCs/>
                <w:snapToGrid w:val="0"/>
              </w:rPr>
            </w:pPr>
            <w:r w:rsidRPr="00AE0D77">
              <w:rPr>
                <w:rFonts w:eastAsia="標楷體"/>
                <w:b/>
                <w:bCs/>
                <w:snapToGrid w:val="0"/>
              </w:rPr>
              <w:t>-0.83</w:t>
            </w:r>
          </w:p>
        </w:tc>
        <w:tc>
          <w:tcPr>
            <w:tcW w:w="502" w:type="pct"/>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0.96</w:t>
            </w:r>
          </w:p>
        </w:tc>
        <w:tc>
          <w:tcPr>
            <w:tcW w:w="631" w:type="pct"/>
            <w:vAlign w:val="center"/>
          </w:tcPr>
          <w:p w:rsidR="00C557CA" w:rsidRPr="00AE0D77" w:rsidRDefault="00C557CA" w:rsidP="0074591B">
            <w:pPr>
              <w:snapToGrid w:val="0"/>
              <w:spacing w:line="340" w:lineRule="exact"/>
              <w:ind w:rightChars="84" w:right="202"/>
              <w:jc w:val="right"/>
              <w:rPr>
                <w:rFonts w:eastAsia="標楷體"/>
                <w:b/>
                <w:bCs/>
              </w:rPr>
            </w:pPr>
            <w:r w:rsidRPr="00AE0D77">
              <w:rPr>
                <w:rFonts w:eastAsia="標楷體"/>
                <w:b/>
                <w:bCs/>
              </w:rPr>
              <w:t>0.88</w:t>
            </w:r>
          </w:p>
        </w:tc>
        <w:tc>
          <w:tcPr>
            <w:tcW w:w="1014" w:type="pct"/>
            <w:vAlign w:val="center"/>
          </w:tcPr>
          <w:p w:rsidR="00C557CA" w:rsidRPr="00AE0D77" w:rsidRDefault="00C557CA" w:rsidP="0074591B">
            <w:pPr>
              <w:snapToGrid w:val="0"/>
              <w:spacing w:line="340" w:lineRule="exact"/>
              <w:ind w:rightChars="278" w:right="667"/>
              <w:jc w:val="right"/>
              <w:rPr>
                <w:rFonts w:eastAsia="標楷體"/>
                <w:b/>
                <w:bCs/>
              </w:rPr>
            </w:pPr>
            <w:r w:rsidRPr="00AE0D77">
              <w:rPr>
                <w:rFonts w:eastAsia="標楷體"/>
                <w:b/>
                <w:bCs/>
              </w:rPr>
              <w:t>0.72</w:t>
            </w:r>
          </w:p>
        </w:tc>
      </w:tr>
      <w:tr w:rsidR="00C557CA" w:rsidRPr="00AE0D77" w:rsidTr="0099145A">
        <w:trPr>
          <w:trHeight w:val="370"/>
          <w:jc w:val="center"/>
        </w:trPr>
        <w:tc>
          <w:tcPr>
            <w:tcW w:w="959" w:type="pct"/>
            <w:tcBorders>
              <w:right w:val="single" w:sz="6" w:space="0" w:color="auto"/>
            </w:tcBorders>
          </w:tcPr>
          <w:p w:rsidR="00C557CA" w:rsidRPr="00AE0D77" w:rsidRDefault="00C557CA" w:rsidP="0074591B">
            <w:pPr>
              <w:snapToGrid w:val="0"/>
              <w:spacing w:line="340" w:lineRule="exact"/>
              <w:ind w:rightChars="257" w:right="617"/>
              <w:jc w:val="right"/>
              <w:rPr>
                <w:rFonts w:eastAsia="標楷體"/>
              </w:rPr>
            </w:pPr>
            <w:r w:rsidRPr="00AE0D77">
              <w:rPr>
                <w:rFonts w:eastAsia="標楷體"/>
                <w:b/>
                <w:bCs/>
                <w:snapToGrid w:val="0"/>
              </w:rPr>
              <w:t>105</w:t>
            </w:r>
            <w:r w:rsidRPr="00AE0D77">
              <w:rPr>
                <w:rFonts w:eastAsia="標楷體"/>
                <w:b/>
                <w:bCs/>
              </w:rPr>
              <w:t>年</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b/>
              </w:rPr>
            </w:pPr>
            <w:r w:rsidRPr="00AE0D77">
              <w:rPr>
                <w:rFonts w:eastAsia="標楷體"/>
                <w:b/>
              </w:rPr>
              <w:t>1.40</w:t>
            </w:r>
          </w:p>
        </w:tc>
        <w:tc>
          <w:tcPr>
            <w:tcW w:w="502" w:type="pct"/>
            <w:vAlign w:val="center"/>
          </w:tcPr>
          <w:p w:rsidR="00C557CA" w:rsidRPr="00AE0D77" w:rsidRDefault="00C557CA" w:rsidP="0074591B">
            <w:pPr>
              <w:snapToGrid w:val="0"/>
              <w:spacing w:line="340" w:lineRule="exact"/>
              <w:ind w:rightChars="50" w:right="120"/>
              <w:jc w:val="right"/>
              <w:rPr>
                <w:rFonts w:eastAsia="標楷體"/>
                <w:b/>
                <w:bCs/>
              </w:rPr>
            </w:pPr>
            <w:r w:rsidRPr="00AE0D77">
              <w:rPr>
                <w:rFonts w:eastAsia="標楷體"/>
                <w:b/>
                <w:bCs/>
              </w:rPr>
              <w:t>2.22</w:t>
            </w:r>
          </w:p>
        </w:tc>
        <w:tc>
          <w:tcPr>
            <w:tcW w:w="890" w:type="pct"/>
            <w:vAlign w:val="center"/>
          </w:tcPr>
          <w:p w:rsidR="00C557CA" w:rsidRPr="00AE0D77" w:rsidRDefault="00C557CA" w:rsidP="0074591B">
            <w:pPr>
              <w:snapToGrid w:val="0"/>
              <w:spacing w:line="340" w:lineRule="exact"/>
              <w:ind w:rightChars="200" w:right="480"/>
              <w:jc w:val="right"/>
              <w:rPr>
                <w:rFonts w:eastAsia="標楷體"/>
                <w:b/>
                <w:bCs/>
                <w:snapToGrid w:val="0"/>
              </w:rPr>
            </w:pPr>
            <w:r w:rsidRPr="00AE0D77">
              <w:rPr>
                <w:rFonts w:eastAsia="標楷體"/>
                <w:b/>
                <w:bCs/>
                <w:snapToGrid w:val="0"/>
              </w:rPr>
              <w:t>-0.42</w:t>
            </w:r>
          </w:p>
        </w:tc>
        <w:tc>
          <w:tcPr>
            <w:tcW w:w="502" w:type="pct"/>
            <w:vAlign w:val="center"/>
          </w:tcPr>
          <w:p w:rsidR="00C557CA" w:rsidRPr="00AE0D77" w:rsidRDefault="00C557CA" w:rsidP="0074591B">
            <w:pPr>
              <w:pStyle w:val="ab"/>
              <w:spacing w:line="360" w:lineRule="exact"/>
              <w:ind w:rightChars="50" w:right="120"/>
              <w:rPr>
                <w:rFonts w:eastAsia="標楷體"/>
                <w:b/>
                <w:bCs/>
              </w:rPr>
            </w:pPr>
            <w:r w:rsidRPr="00AE0D77">
              <w:rPr>
                <w:rFonts w:eastAsia="標楷體"/>
                <w:b/>
                <w:bCs/>
              </w:rPr>
              <w:t>0.78</w:t>
            </w:r>
          </w:p>
        </w:tc>
        <w:tc>
          <w:tcPr>
            <w:tcW w:w="631" w:type="pct"/>
            <w:vAlign w:val="center"/>
          </w:tcPr>
          <w:p w:rsidR="00C557CA" w:rsidRPr="00AE0D77" w:rsidRDefault="00C557CA" w:rsidP="0074591B">
            <w:pPr>
              <w:snapToGrid w:val="0"/>
              <w:spacing w:line="340" w:lineRule="exact"/>
              <w:ind w:rightChars="84" w:right="202"/>
              <w:jc w:val="right"/>
              <w:rPr>
                <w:rFonts w:eastAsia="標楷體"/>
                <w:b/>
                <w:bCs/>
              </w:rPr>
            </w:pPr>
            <w:r w:rsidRPr="00AE0D77">
              <w:rPr>
                <w:rFonts w:eastAsia="標楷體"/>
                <w:b/>
                <w:bCs/>
              </w:rPr>
              <w:t>0.85</w:t>
            </w:r>
          </w:p>
        </w:tc>
        <w:tc>
          <w:tcPr>
            <w:tcW w:w="1014" w:type="pct"/>
            <w:vAlign w:val="center"/>
          </w:tcPr>
          <w:p w:rsidR="00C557CA" w:rsidRPr="00AE0D77" w:rsidRDefault="00C557CA" w:rsidP="0074591B">
            <w:pPr>
              <w:snapToGrid w:val="0"/>
              <w:spacing w:line="340" w:lineRule="exact"/>
              <w:ind w:rightChars="278" w:right="667"/>
              <w:jc w:val="right"/>
              <w:rPr>
                <w:rFonts w:eastAsia="標楷體"/>
                <w:b/>
                <w:bCs/>
              </w:rPr>
            </w:pPr>
            <w:r w:rsidRPr="00AE0D77">
              <w:rPr>
                <w:rFonts w:eastAsia="標楷體"/>
                <w:b/>
                <w:bCs/>
              </w:rPr>
              <w:t>0.26</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5</w:t>
            </w:r>
            <w:r w:rsidRPr="00AE0D77">
              <w:rPr>
                <w:rFonts w:eastAsia="標楷體"/>
              </w:rPr>
              <w:t>月</w:t>
            </w:r>
          </w:p>
        </w:tc>
        <w:tc>
          <w:tcPr>
            <w:tcW w:w="502" w:type="pct"/>
            <w:tcBorders>
              <w:left w:val="single" w:sz="6" w:space="0" w:color="auto"/>
            </w:tcBorders>
          </w:tcPr>
          <w:p w:rsidR="00C557CA" w:rsidRPr="00AE0D77" w:rsidRDefault="00C557CA" w:rsidP="0074591B">
            <w:pPr>
              <w:pStyle w:val="ab"/>
              <w:spacing w:line="360" w:lineRule="exact"/>
              <w:ind w:rightChars="53" w:right="127"/>
              <w:rPr>
                <w:rFonts w:eastAsia="標楷體"/>
              </w:rPr>
            </w:pPr>
            <w:r w:rsidRPr="00AE0D77">
              <w:rPr>
                <w:rFonts w:eastAsia="標楷體"/>
              </w:rPr>
              <w:t>1.23</w:t>
            </w:r>
          </w:p>
        </w:tc>
        <w:tc>
          <w:tcPr>
            <w:tcW w:w="502" w:type="pct"/>
          </w:tcPr>
          <w:p w:rsidR="00C557CA" w:rsidRPr="00AE0D77" w:rsidRDefault="00C557CA" w:rsidP="0074591B">
            <w:pPr>
              <w:snapToGrid w:val="0"/>
              <w:spacing w:line="340" w:lineRule="exact"/>
              <w:ind w:rightChars="50" w:right="120"/>
              <w:jc w:val="right"/>
              <w:rPr>
                <w:rFonts w:eastAsia="標楷體"/>
              </w:rPr>
            </w:pPr>
            <w:r w:rsidRPr="00AE0D77">
              <w:rPr>
                <w:rFonts w:eastAsia="標楷體"/>
              </w:rPr>
              <w:t>1.90</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-0.35</w:t>
            </w:r>
          </w:p>
        </w:tc>
        <w:tc>
          <w:tcPr>
            <w:tcW w:w="502" w:type="pct"/>
          </w:tcPr>
          <w:p w:rsidR="00C557CA" w:rsidRPr="00AE0D77" w:rsidRDefault="00C557CA" w:rsidP="0074591B">
            <w:pPr>
              <w:pStyle w:val="ab"/>
              <w:spacing w:line="360" w:lineRule="exact"/>
              <w:ind w:rightChars="50" w:right="120"/>
              <w:rPr>
                <w:rFonts w:eastAsia="標楷體"/>
              </w:rPr>
            </w:pPr>
            <w:r w:rsidRPr="00AE0D77">
              <w:rPr>
                <w:rFonts w:eastAsia="標楷體"/>
              </w:rPr>
              <w:t>0.75</w:t>
            </w:r>
          </w:p>
        </w:tc>
        <w:tc>
          <w:tcPr>
            <w:tcW w:w="631" w:type="pct"/>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0.85</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0.29</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6</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0.91</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1.14</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-1.06</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0.74</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0.88</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0.52</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7</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1.23</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1.83</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-0.70</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0.80</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0.81</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0.45</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8</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0.57</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0.31</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-0.68</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0.76</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0.85</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0.45</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9</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0.33</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-0.34</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-0.30</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0.84</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0.80</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0.64</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10</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1.70</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2.93</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-0.39</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0.78</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0.84</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0.16</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11</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1.97</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3.66</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-0.39</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0.72</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0.79</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0.09</w:t>
            </w:r>
          </w:p>
        </w:tc>
      </w:tr>
      <w:tr w:rsidR="00C557CA" w:rsidRPr="00AE0D77" w:rsidTr="0074591B">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12</w:t>
            </w:r>
            <w:r w:rsidRPr="00AE0D77">
              <w:rPr>
                <w:rFonts w:eastAsia="標楷體"/>
              </w:rPr>
              <w:t>月</w:t>
            </w:r>
          </w:p>
        </w:tc>
        <w:tc>
          <w:tcPr>
            <w:tcW w:w="502" w:type="pct"/>
            <w:tcBorders>
              <w:left w:val="single" w:sz="6" w:space="0" w:color="auto"/>
            </w:tcBorders>
            <w:vAlign w:val="center"/>
          </w:tcPr>
          <w:p w:rsidR="00C557CA" w:rsidRPr="00AE0D77" w:rsidRDefault="00C557CA" w:rsidP="0074591B">
            <w:pPr>
              <w:pStyle w:val="ab"/>
              <w:spacing w:line="360" w:lineRule="exact"/>
              <w:ind w:rightChars="53" w:right="127"/>
              <w:rPr>
                <w:rFonts w:eastAsia="標楷體"/>
              </w:rPr>
            </w:pPr>
            <w:r w:rsidRPr="00AE0D77">
              <w:rPr>
                <w:rFonts w:eastAsia="標楷體"/>
              </w:rPr>
              <w:t>1.69</w:t>
            </w:r>
          </w:p>
        </w:tc>
        <w:tc>
          <w:tcPr>
            <w:tcW w:w="502" w:type="pct"/>
            <w:vAlign w:val="center"/>
          </w:tcPr>
          <w:p w:rsidR="00C557CA" w:rsidRPr="00AE0D77" w:rsidRDefault="00C557CA" w:rsidP="0074591B">
            <w:pPr>
              <w:snapToGrid w:val="0"/>
              <w:spacing w:line="340" w:lineRule="exact"/>
              <w:ind w:rightChars="50" w:right="120"/>
              <w:jc w:val="right"/>
              <w:rPr>
                <w:rFonts w:eastAsia="標楷體"/>
              </w:rPr>
            </w:pPr>
            <w:r w:rsidRPr="00AE0D77">
              <w:rPr>
                <w:rFonts w:eastAsia="標楷體"/>
              </w:rPr>
              <w:t>2.99</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-0.35</w:t>
            </w:r>
          </w:p>
        </w:tc>
        <w:tc>
          <w:tcPr>
            <w:tcW w:w="502" w:type="pct"/>
            <w:vAlign w:val="center"/>
          </w:tcPr>
          <w:p w:rsidR="00C557CA" w:rsidRPr="00AE0D77" w:rsidRDefault="00C557CA" w:rsidP="0074591B">
            <w:pPr>
              <w:pStyle w:val="ab"/>
              <w:spacing w:line="360" w:lineRule="exact"/>
              <w:ind w:rightChars="50" w:right="120"/>
              <w:rPr>
                <w:rFonts w:eastAsia="標楷體"/>
              </w:rPr>
            </w:pPr>
            <w:r w:rsidRPr="00AE0D77">
              <w:rPr>
                <w:rFonts w:eastAsia="標楷體"/>
              </w:rPr>
              <w:t>0.74</w:t>
            </w:r>
          </w:p>
        </w:tc>
        <w:tc>
          <w:tcPr>
            <w:tcW w:w="631" w:type="pct"/>
            <w:vAlign w:val="center"/>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0.85</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-0.06</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tabs>
                <w:tab w:val="left" w:pos="1720"/>
              </w:tabs>
              <w:snapToGrid w:val="0"/>
              <w:spacing w:line="340" w:lineRule="exact"/>
              <w:ind w:rightChars="-19" w:right="-46"/>
              <w:jc w:val="right"/>
              <w:rPr>
                <w:rFonts w:eastAsia="標楷體"/>
              </w:rPr>
            </w:pPr>
            <w:r w:rsidRPr="00AE0D77">
              <w:rPr>
                <w:rFonts w:eastAsia="標楷體"/>
                <w:b/>
                <w:bCs/>
                <w:snapToGrid w:val="0"/>
              </w:rPr>
              <w:t>10</w:t>
            </w:r>
            <w:r w:rsidR="00BA5CF7" w:rsidRPr="00AE0D77">
              <w:rPr>
                <w:rFonts w:eastAsia="標楷體"/>
                <w:b/>
                <w:bCs/>
                <w:snapToGrid w:val="0"/>
              </w:rPr>
              <w:t>6</w:t>
            </w:r>
            <w:r w:rsidRPr="00AE0D77">
              <w:rPr>
                <w:rFonts w:eastAsia="標楷體"/>
                <w:b/>
                <w:bCs/>
              </w:rPr>
              <w:t>年</w:t>
            </w:r>
            <w:r w:rsidRPr="00AE0D77">
              <w:rPr>
                <w:rFonts w:eastAsia="標楷體"/>
                <w:b/>
                <w:bCs/>
              </w:rPr>
              <w:t>1~5</w:t>
            </w:r>
            <w:r w:rsidRPr="00AE0D77">
              <w:rPr>
                <w:rFonts w:eastAsia="標楷體"/>
                <w:b/>
                <w:bCs/>
              </w:rPr>
              <w:t>月</w:t>
            </w:r>
          </w:p>
        </w:tc>
        <w:tc>
          <w:tcPr>
            <w:tcW w:w="502" w:type="pct"/>
            <w:tcBorders>
              <w:left w:val="single" w:sz="6" w:space="0" w:color="auto"/>
            </w:tcBorders>
            <w:vAlign w:val="center"/>
          </w:tcPr>
          <w:p w:rsidR="00C557CA" w:rsidRPr="00AE0D77" w:rsidRDefault="00C557CA" w:rsidP="00B160C7">
            <w:pPr>
              <w:pStyle w:val="ab"/>
              <w:spacing w:line="360" w:lineRule="exact"/>
              <w:ind w:rightChars="53" w:right="127"/>
              <w:rPr>
                <w:rFonts w:eastAsia="標楷體"/>
                <w:b/>
              </w:rPr>
            </w:pPr>
            <w:r w:rsidRPr="00AE0D77">
              <w:rPr>
                <w:rFonts w:eastAsia="標楷體"/>
                <w:b/>
              </w:rPr>
              <w:t>0.6</w:t>
            </w:r>
            <w:r w:rsidR="00B160C7" w:rsidRPr="00AE0D77">
              <w:rPr>
                <w:rFonts w:eastAsia="標楷體"/>
                <w:b/>
              </w:rPr>
              <w:t>0</w:t>
            </w:r>
          </w:p>
        </w:tc>
        <w:tc>
          <w:tcPr>
            <w:tcW w:w="502" w:type="pct"/>
            <w:vAlign w:val="center"/>
          </w:tcPr>
          <w:p w:rsidR="00C557CA" w:rsidRPr="00AE0D77" w:rsidRDefault="00C557CA" w:rsidP="00B160C7">
            <w:pPr>
              <w:snapToGrid w:val="0"/>
              <w:spacing w:line="340" w:lineRule="exact"/>
              <w:ind w:rightChars="50" w:right="120"/>
              <w:jc w:val="right"/>
              <w:rPr>
                <w:rFonts w:eastAsia="標楷體"/>
                <w:b/>
                <w:bCs/>
              </w:rPr>
            </w:pPr>
            <w:r w:rsidRPr="00AE0D77">
              <w:rPr>
                <w:rFonts w:eastAsia="標楷體"/>
                <w:b/>
                <w:bCs/>
              </w:rPr>
              <w:t>0.</w:t>
            </w:r>
            <w:r w:rsidR="00B160C7" w:rsidRPr="00AE0D77">
              <w:rPr>
                <w:rFonts w:eastAsia="標楷體"/>
                <w:b/>
                <w:bCs/>
              </w:rPr>
              <w:t>09</w:t>
            </w:r>
          </w:p>
        </w:tc>
        <w:tc>
          <w:tcPr>
            <w:tcW w:w="890" w:type="pct"/>
            <w:vAlign w:val="center"/>
          </w:tcPr>
          <w:p w:rsidR="00C557CA" w:rsidRPr="00AE0D77" w:rsidRDefault="00C557CA" w:rsidP="00B160C7">
            <w:pPr>
              <w:snapToGrid w:val="0"/>
              <w:spacing w:line="340" w:lineRule="exact"/>
              <w:ind w:rightChars="200" w:right="480"/>
              <w:jc w:val="right"/>
              <w:rPr>
                <w:rFonts w:eastAsia="標楷體"/>
                <w:b/>
                <w:bCs/>
                <w:snapToGrid w:val="0"/>
              </w:rPr>
            </w:pPr>
            <w:r w:rsidRPr="00AE0D77">
              <w:rPr>
                <w:rFonts w:eastAsia="標楷體"/>
                <w:b/>
                <w:bCs/>
                <w:snapToGrid w:val="0"/>
              </w:rPr>
              <w:t>-0.</w:t>
            </w:r>
            <w:r w:rsidR="00B160C7" w:rsidRPr="00AE0D77">
              <w:rPr>
                <w:rFonts w:eastAsia="標楷體"/>
                <w:b/>
                <w:bCs/>
                <w:snapToGrid w:val="0"/>
              </w:rPr>
              <w:t>33</w:t>
            </w:r>
          </w:p>
        </w:tc>
        <w:tc>
          <w:tcPr>
            <w:tcW w:w="502" w:type="pct"/>
            <w:vAlign w:val="center"/>
          </w:tcPr>
          <w:p w:rsidR="00C557CA" w:rsidRPr="00AE0D77" w:rsidRDefault="00C557CA" w:rsidP="00B160C7">
            <w:pPr>
              <w:pStyle w:val="ab"/>
              <w:spacing w:line="360" w:lineRule="exact"/>
              <w:ind w:rightChars="50" w:right="120"/>
              <w:rPr>
                <w:rFonts w:eastAsia="標楷體"/>
                <w:b/>
                <w:bCs/>
              </w:rPr>
            </w:pPr>
            <w:r w:rsidRPr="00AE0D77">
              <w:rPr>
                <w:rFonts w:eastAsia="標楷體"/>
                <w:b/>
                <w:bCs/>
              </w:rPr>
              <w:t>0.9</w:t>
            </w:r>
            <w:r w:rsidR="00B160C7" w:rsidRPr="00AE0D77">
              <w:rPr>
                <w:rFonts w:eastAsia="標楷體"/>
                <w:b/>
                <w:bCs/>
              </w:rPr>
              <w:t>8</w:t>
            </w:r>
          </w:p>
        </w:tc>
        <w:tc>
          <w:tcPr>
            <w:tcW w:w="631" w:type="pct"/>
            <w:vAlign w:val="center"/>
          </w:tcPr>
          <w:p w:rsidR="00C557CA" w:rsidRPr="00AE0D77" w:rsidRDefault="00C557CA" w:rsidP="0074591B">
            <w:pPr>
              <w:snapToGrid w:val="0"/>
              <w:spacing w:line="340" w:lineRule="exact"/>
              <w:ind w:rightChars="84" w:right="202"/>
              <w:jc w:val="right"/>
              <w:rPr>
                <w:rFonts w:eastAsia="標楷體"/>
                <w:b/>
                <w:bCs/>
              </w:rPr>
            </w:pPr>
            <w:r w:rsidRPr="00AE0D77">
              <w:rPr>
                <w:rFonts w:eastAsia="標楷體"/>
                <w:b/>
                <w:bCs/>
              </w:rPr>
              <w:t>0.9</w:t>
            </w:r>
            <w:r w:rsidR="00057895" w:rsidRPr="00AE0D77">
              <w:rPr>
                <w:rFonts w:eastAsia="標楷體"/>
                <w:b/>
                <w:bCs/>
              </w:rPr>
              <w:t>5</w:t>
            </w:r>
          </w:p>
        </w:tc>
        <w:tc>
          <w:tcPr>
            <w:tcW w:w="1014" w:type="pct"/>
            <w:vAlign w:val="center"/>
          </w:tcPr>
          <w:p w:rsidR="00C557CA" w:rsidRPr="00AE0D77" w:rsidRDefault="00C557CA" w:rsidP="00057895">
            <w:pPr>
              <w:snapToGrid w:val="0"/>
              <w:spacing w:line="340" w:lineRule="exact"/>
              <w:ind w:rightChars="278" w:right="667"/>
              <w:jc w:val="right"/>
              <w:rPr>
                <w:rFonts w:eastAsia="標楷體"/>
                <w:b/>
                <w:bCs/>
              </w:rPr>
            </w:pPr>
            <w:r w:rsidRPr="00AE0D77">
              <w:rPr>
                <w:rFonts w:eastAsia="標楷體"/>
                <w:b/>
                <w:bCs/>
              </w:rPr>
              <w:t>0.2</w:t>
            </w:r>
            <w:r w:rsidR="00057895" w:rsidRPr="00AE0D77">
              <w:rPr>
                <w:rFonts w:eastAsia="標楷體"/>
                <w:b/>
                <w:bCs/>
              </w:rPr>
              <w:t>9</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1</w:t>
            </w:r>
            <w:r w:rsidRPr="00AE0D77">
              <w:rPr>
                <w:rFonts w:eastAsia="標楷體"/>
              </w:rPr>
              <w:t>月</w:t>
            </w:r>
          </w:p>
        </w:tc>
        <w:tc>
          <w:tcPr>
            <w:tcW w:w="502" w:type="pct"/>
            <w:tcBorders>
              <w:left w:val="single" w:sz="6" w:space="0" w:color="auto"/>
            </w:tcBorders>
          </w:tcPr>
          <w:p w:rsidR="00C557CA" w:rsidRPr="00AE0D77" w:rsidRDefault="00C557CA" w:rsidP="0074591B">
            <w:pPr>
              <w:pStyle w:val="ab"/>
              <w:spacing w:line="360" w:lineRule="exact"/>
              <w:ind w:rightChars="53" w:right="127"/>
              <w:rPr>
                <w:rFonts w:eastAsia="標楷體"/>
              </w:rPr>
            </w:pPr>
            <w:r w:rsidRPr="00AE0D77">
              <w:rPr>
                <w:rFonts w:eastAsia="標楷體"/>
              </w:rPr>
              <w:t>2.24</w:t>
            </w:r>
          </w:p>
        </w:tc>
        <w:tc>
          <w:tcPr>
            <w:tcW w:w="502" w:type="pct"/>
          </w:tcPr>
          <w:p w:rsidR="00C557CA" w:rsidRPr="00AE0D77" w:rsidRDefault="00C557CA" w:rsidP="0074591B">
            <w:pPr>
              <w:snapToGrid w:val="0"/>
              <w:spacing w:line="340" w:lineRule="exact"/>
              <w:ind w:rightChars="50" w:right="120"/>
              <w:jc w:val="right"/>
              <w:rPr>
                <w:rFonts w:eastAsia="標楷體"/>
              </w:rPr>
            </w:pPr>
            <w:r w:rsidRPr="00AE0D77">
              <w:rPr>
                <w:rFonts w:eastAsia="標楷體"/>
              </w:rPr>
              <w:t>2.66</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-0.20</w:t>
            </w:r>
          </w:p>
        </w:tc>
        <w:tc>
          <w:tcPr>
            <w:tcW w:w="502" w:type="pct"/>
          </w:tcPr>
          <w:p w:rsidR="00C557CA" w:rsidRPr="00AE0D77" w:rsidRDefault="00C557CA" w:rsidP="0074591B">
            <w:pPr>
              <w:pStyle w:val="ab"/>
              <w:spacing w:line="360" w:lineRule="exact"/>
              <w:ind w:rightChars="50" w:right="120"/>
              <w:rPr>
                <w:rFonts w:eastAsia="標楷體"/>
              </w:rPr>
            </w:pPr>
            <w:r w:rsidRPr="00AE0D77">
              <w:rPr>
                <w:rFonts w:eastAsia="標楷體"/>
              </w:rPr>
              <w:t>1.95</w:t>
            </w:r>
          </w:p>
        </w:tc>
        <w:tc>
          <w:tcPr>
            <w:tcW w:w="631" w:type="pct"/>
          </w:tcPr>
          <w:p w:rsidR="00C557CA" w:rsidRPr="00AE0D77" w:rsidRDefault="00C557CA" w:rsidP="0074591B">
            <w:pPr>
              <w:snapToGrid w:val="0"/>
              <w:spacing w:line="340" w:lineRule="exact"/>
              <w:ind w:rightChars="84" w:right="202"/>
              <w:jc w:val="right"/>
              <w:rPr>
                <w:rFonts w:eastAsia="標楷體"/>
              </w:rPr>
            </w:pPr>
            <w:r w:rsidRPr="00AE0D77">
              <w:rPr>
                <w:rFonts w:eastAsia="標楷體"/>
              </w:rPr>
              <w:t>1.06</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0.44</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2</w:t>
            </w:r>
            <w:r w:rsidRPr="00AE0D77">
              <w:rPr>
                <w:rFonts w:eastAsia="標楷體"/>
              </w:rPr>
              <w:t>月</w:t>
            </w:r>
          </w:p>
        </w:tc>
        <w:tc>
          <w:tcPr>
            <w:tcW w:w="502" w:type="pct"/>
            <w:tcBorders>
              <w:left w:val="single" w:sz="6" w:space="0" w:color="auto"/>
            </w:tcBorders>
          </w:tcPr>
          <w:p w:rsidR="00C557CA" w:rsidRPr="00AE0D77" w:rsidRDefault="00C557CA" w:rsidP="0074591B">
            <w:pPr>
              <w:pStyle w:val="ab"/>
              <w:spacing w:line="360" w:lineRule="exact"/>
              <w:ind w:rightChars="53" w:right="127"/>
              <w:rPr>
                <w:rFonts w:eastAsia="標楷體"/>
              </w:rPr>
            </w:pPr>
            <w:r w:rsidRPr="00AE0D77">
              <w:rPr>
                <w:rFonts w:eastAsia="標楷體"/>
              </w:rPr>
              <w:t>-0.07</w:t>
            </w:r>
          </w:p>
        </w:tc>
        <w:tc>
          <w:tcPr>
            <w:tcW w:w="502" w:type="pct"/>
          </w:tcPr>
          <w:p w:rsidR="00C557CA" w:rsidRPr="00AE0D77" w:rsidRDefault="00C557CA" w:rsidP="0074591B">
            <w:pPr>
              <w:snapToGrid w:val="0"/>
              <w:spacing w:line="340" w:lineRule="exact"/>
              <w:ind w:rightChars="50" w:right="120"/>
              <w:jc w:val="right"/>
              <w:rPr>
                <w:rFonts w:eastAsia="標楷體"/>
              </w:rPr>
            </w:pPr>
            <w:r w:rsidRPr="00AE0D77">
              <w:rPr>
                <w:rFonts w:eastAsia="標楷體"/>
              </w:rPr>
              <w:t>0.23</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-0.14</w:t>
            </w:r>
          </w:p>
        </w:tc>
        <w:tc>
          <w:tcPr>
            <w:tcW w:w="502" w:type="pct"/>
          </w:tcPr>
          <w:p w:rsidR="00C557CA" w:rsidRPr="00AE0D77" w:rsidRDefault="00C557CA" w:rsidP="0074591B">
            <w:pPr>
              <w:pStyle w:val="ab"/>
              <w:spacing w:line="360" w:lineRule="exact"/>
              <w:ind w:rightChars="50" w:right="120"/>
              <w:rPr>
                <w:rFonts w:eastAsia="標楷體"/>
              </w:rPr>
            </w:pPr>
            <w:r w:rsidRPr="00AE0D77">
              <w:rPr>
                <w:rFonts w:eastAsia="標楷體"/>
              </w:rPr>
              <w:t>-0.28</w:t>
            </w:r>
          </w:p>
        </w:tc>
        <w:tc>
          <w:tcPr>
            <w:tcW w:w="631" w:type="pct"/>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0.74</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-0.23</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3</w:t>
            </w:r>
            <w:r w:rsidRPr="00AE0D77">
              <w:rPr>
                <w:rFonts w:eastAsia="標楷體"/>
              </w:rPr>
              <w:t>月</w:t>
            </w:r>
          </w:p>
        </w:tc>
        <w:tc>
          <w:tcPr>
            <w:tcW w:w="502" w:type="pct"/>
            <w:tcBorders>
              <w:left w:val="single" w:sz="6" w:space="0" w:color="auto"/>
            </w:tcBorders>
          </w:tcPr>
          <w:p w:rsidR="00C557CA" w:rsidRPr="00AE0D77" w:rsidRDefault="00C557CA" w:rsidP="0074591B">
            <w:pPr>
              <w:pStyle w:val="ab"/>
              <w:spacing w:line="360" w:lineRule="exact"/>
              <w:ind w:rightChars="53" w:right="127"/>
              <w:rPr>
                <w:rFonts w:eastAsia="標楷體"/>
              </w:rPr>
            </w:pPr>
            <w:r w:rsidRPr="00AE0D77">
              <w:rPr>
                <w:rFonts w:eastAsia="標楷體"/>
              </w:rPr>
              <w:t>0.1</w:t>
            </w:r>
            <w:r w:rsidR="00B160C7" w:rsidRPr="00AE0D77">
              <w:rPr>
                <w:rFonts w:eastAsia="標楷體"/>
              </w:rPr>
              <w:t>7</w:t>
            </w:r>
          </w:p>
        </w:tc>
        <w:tc>
          <w:tcPr>
            <w:tcW w:w="502" w:type="pct"/>
          </w:tcPr>
          <w:p w:rsidR="00C557CA" w:rsidRPr="00AE0D77" w:rsidRDefault="00C557CA" w:rsidP="000E5F8D">
            <w:pPr>
              <w:snapToGrid w:val="0"/>
              <w:spacing w:line="340" w:lineRule="exact"/>
              <w:ind w:rightChars="50" w:right="120"/>
              <w:jc w:val="right"/>
              <w:rPr>
                <w:rFonts w:eastAsia="標楷體"/>
              </w:rPr>
            </w:pPr>
            <w:r w:rsidRPr="00AE0D77">
              <w:rPr>
                <w:rFonts w:eastAsia="標楷體"/>
              </w:rPr>
              <w:t>-0.9</w:t>
            </w:r>
            <w:r w:rsidR="000E5F8D" w:rsidRPr="00AE0D77">
              <w:rPr>
                <w:rFonts w:eastAsia="標楷體"/>
              </w:rPr>
              <w:t>9</w:t>
            </w:r>
          </w:p>
        </w:tc>
        <w:tc>
          <w:tcPr>
            <w:tcW w:w="890" w:type="pct"/>
            <w:vAlign w:val="center"/>
          </w:tcPr>
          <w:p w:rsidR="00C557CA" w:rsidRPr="00AE0D77" w:rsidRDefault="00C557CA" w:rsidP="000E5F8D">
            <w:pPr>
              <w:snapToGrid w:val="0"/>
              <w:spacing w:line="340" w:lineRule="exact"/>
              <w:ind w:rightChars="200" w:right="480"/>
              <w:jc w:val="right"/>
              <w:rPr>
                <w:rFonts w:eastAsia="標楷體"/>
                <w:snapToGrid w:val="0"/>
              </w:rPr>
            </w:pPr>
            <w:r w:rsidRPr="00AE0D77">
              <w:rPr>
                <w:rFonts w:eastAsia="標楷體"/>
                <w:snapToGrid w:val="0"/>
              </w:rPr>
              <w:t>-0.3</w:t>
            </w:r>
            <w:r w:rsidR="000E5F8D" w:rsidRPr="00AE0D77">
              <w:rPr>
                <w:rFonts w:eastAsia="標楷體"/>
                <w:snapToGrid w:val="0"/>
              </w:rPr>
              <w:t>0</w:t>
            </w:r>
          </w:p>
        </w:tc>
        <w:tc>
          <w:tcPr>
            <w:tcW w:w="502" w:type="pct"/>
          </w:tcPr>
          <w:p w:rsidR="00C557CA" w:rsidRPr="00AE0D77" w:rsidRDefault="00C557CA" w:rsidP="0074591B">
            <w:pPr>
              <w:pStyle w:val="ab"/>
              <w:spacing w:line="360" w:lineRule="exact"/>
              <w:ind w:rightChars="50" w:right="120"/>
              <w:rPr>
                <w:rFonts w:eastAsia="標楷體"/>
              </w:rPr>
            </w:pPr>
            <w:r w:rsidRPr="00AE0D77">
              <w:rPr>
                <w:rFonts w:eastAsia="標楷體"/>
              </w:rPr>
              <w:t>1.05</w:t>
            </w:r>
          </w:p>
        </w:tc>
        <w:tc>
          <w:tcPr>
            <w:tcW w:w="631" w:type="pct"/>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0.97</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0.39</w:t>
            </w:r>
          </w:p>
        </w:tc>
      </w:tr>
      <w:tr w:rsidR="00C557CA" w:rsidRPr="00AE0D77" w:rsidTr="0099145A">
        <w:trPr>
          <w:trHeight w:val="370"/>
          <w:jc w:val="center"/>
        </w:trPr>
        <w:tc>
          <w:tcPr>
            <w:tcW w:w="959" w:type="pct"/>
            <w:tcBorders>
              <w:right w:val="single" w:sz="6" w:space="0" w:color="auto"/>
            </w:tcBorders>
          </w:tcPr>
          <w:p w:rsidR="00C557CA" w:rsidRPr="00AE0D77" w:rsidRDefault="00C557CA" w:rsidP="0099145A">
            <w:pPr>
              <w:wordWrap w:val="0"/>
              <w:spacing w:line="340" w:lineRule="exact"/>
              <w:ind w:right="284"/>
              <w:jc w:val="right"/>
              <w:rPr>
                <w:rFonts w:eastAsia="標楷體"/>
              </w:rPr>
            </w:pPr>
            <w:r w:rsidRPr="00AE0D77">
              <w:rPr>
                <w:rFonts w:eastAsia="標楷體"/>
              </w:rPr>
              <w:t>4</w:t>
            </w:r>
            <w:r w:rsidRPr="00AE0D77">
              <w:rPr>
                <w:rFonts w:eastAsia="標楷體"/>
              </w:rPr>
              <w:t>月</w:t>
            </w:r>
          </w:p>
        </w:tc>
        <w:tc>
          <w:tcPr>
            <w:tcW w:w="502" w:type="pct"/>
            <w:tcBorders>
              <w:left w:val="single" w:sz="6" w:space="0" w:color="auto"/>
            </w:tcBorders>
          </w:tcPr>
          <w:p w:rsidR="00C557CA" w:rsidRPr="00AE0D77" w:rsidRDefault="00C557CA" w:rsidP="0074591B">
            <w:pPr>
              <w:pStyle w:val="ab"/>
              <w:spacing w:line="360" w:lineRule="exact"/>
              <w:ind w:rightChars="53" w:right="127"/>
              <w:rPr>
                <w:rFonts w:eastAsia="標楷體"/>
              </w:rPr>
            </w:pPr>
            <w:r w:rsidRPr="00AE0D77">
              <w:rPr>
                <w:rFonts w:eastAsia="標楷體"/>
              </w:rPr>
              <w:t>0.1</w:t>
            </w:r>
            <w:r w:rsidR="00B160C7" w:rsidRPr="00AE0D77">
              <w:rPr>
                <w:rFonts w:eastAsia="標楷體"/>
              </w:rPr>
              <w:t>0</w:t>
            </w:r>
          </w:p>
        </w:tc>
        <w:tc>
          <w:tcPr>
            <w:tcW w:w="502" w:type="pct"/>
          </w:tcPr>
          <w:p w:rsidR="00C557CA" w:rsidRPr="00AE0D77" w:rsidRDefault="00C557CA" w:rsidP="000E5F8D">
            <w:pPr>
              <w:snapToGrid w:val="0"/>
              <w:spacing w:line="340" w:lineRule="exact"/>
              <w:ind w:rightChars="50" w:right="120"/>
              <w:jc w:val="right"/>
              <w:rPr>
                <w:rFonts w:eastAsia="標楷體"/>
              </w:rPr>
            </w:pPr>
            <w:r w:rsidRPr="00AE0D77">
              <w:rPr>
                <w:rFonts w:eastAsia="標楷體"/>
              </w:rPr>
              <w:t>-1.1</w:t>
            </w:r>
            <w:r w:rsidR="000E5F8D" w:rsidRPr="00AE0D77">
              <w:rPr>
                <w:rFonts w:eastAsia="標楷體"/>
              </w:rPr>
              <w:t>9</w:t>
            </w:r>
          </w:p>
        </w:tc>
        <w:tc>
          <w:tcPr>
            <w:tcW w:w="890" w:type="pct"/>
            <w:vAlign w:val="center"/>
          </w:tcPr>
          <w:p w:rsidR="00C557CA" w:rsidRPr="00AE0D77" w:rsidRDefault="00C557CA" w:rsidP="0074591B">
            <w:pPr>
              <w:snapToGrid w:val="0"/>
              <w:spacing w:line="340" w:lineRule="exact"/>
              <w:ind w:rightChars="200" w:right="480"/>
              <w:jc w:val="right"/>
              <w:rPr>
                <w:rFonts w:eastAsia="標楷體"/>
                <w:snapToGrid w:val="0"/>
              </w:rPr>
            </w:pPr>
            <w:r w:rsidRPr="00AE0D77">
              <w:rPr>
                <w:rFonts w:eastAsia="標楷體"/>
                <w:snapToGrid w:val="0"/>
              </w:rPr>
              <w:t>-0.41</w:t>
            </w:r>
          </w:p>
        </w:tc>
        <w:tc>
          <w:tcPr>
            <w:tcW w:w="502" w:type="pct"/>
          </w:tcPr>
          <w:p w:rsidR="00C557CA" w:rsidRPr="00AE0D77" w:rsidRDefault="00C557CA" w:rsidP="0074591B">
            <w:pPr>
              <w:pStyle w:val="ab"/>
              <w:spacing w:line="360" w:lineRule="exact"/>
              <w:ind w:rightChars="50" w:right="120"/>
              <w:rPr>
                <w:rFonts w:eastAsia="標楷體"/>
              </w:rPr>
            </w:pPr>
            <w:r w:rsidRPr="00AE0D77">
              <w:rPr>
                <w:rFonts w:eastAsia="標楷體"/>
              </w:rPr>
              <w:t>1.06</w:t>
            </w:r>
          </w:p>
        </w:tc>
        <w:tc>
          <w:tcPr>
            <w:tcW w:w="631" w:type="pct"/>
          </w:tcPr>
          <w:p w:rsidR="00C557CA" w:rsidRPr="00AE0D77" w:rsidRDefault="00C557CA" w:rsidP="0074591B">
            <w:pPr>
              <w:snapToGrid w:val="0"/>
              <w:spacing w:line="340" w:lineRule="exact"/>
              <w:ind w:rightChars="84" w:right="202"/>
              <w:jc w:val="right"/>
              <w:rPr>
                <w:rFonts w:eastAsia="標楷體"/>
              </w:rPr>
            </w:pPr>
            <w:r w:rsidRPr="00AE0D77">
              <w:rPr>
                <w:rFonts w:eastAsia="標楷體"/>
              </w:rPr>
              <w:t>0.98</w:t>
            </w:r>
          </w:p>
        </w:tc>
        <w:tc>
          <w:tcPr>
            <w:tcW w:w="1014" w:type="pct"/>
            <w:vAlign w:val="center"/>
          </w:tcPr>
          <w:p w:rsidR="00C557CA" w:rsidRPr="00AE0D77" w:rsidRDefault="00C557CA" w:rsidP="0074591B">
            <w:pPr>
              <w:snapToGrid w:val="0"/>
              <w:spacing w:line="340" w:lineRule="exact"/>
              <w:ind w:rightChars="278" w:right="667"/>
              <w:jc w:val="right"/>
              <w:rPr>
                <w:rFonts w:eastAsia="標楷體"/>
              </w:rPr>
            </w:pPr>
            <w:r w:rsidRPr="00AE0D77">
              <w:rPr>
                <w:rFonts w:eastAsia="標楷體"/>
              </w:rPr>
              <w:t>0.4</w:t>
            </w:r>
            <w:r w:rsidR="007D4543" w:rsidRPr="00AE0D77">
              <w:rPr>
                <w:rFonts w:eastAsia="標楷體"/>
              </w:rPr>
              <w:t>1</w:t>
            </w:r>
          </w:p>
        </w:tc>
      </w:tr>
      <w:tr w:rsidR="00423E42" w:rsidRPr="00AE0D77" w:rsidTr="0099145A">
        <w:trPr>
          <w:trHeight w:val="370"/>
          <w:jc w:val="center"/>
        </w:trPr>
        <w:tc>
          <w:tcPr>
            <w:tcW w:w="959" w:type="pct"/>
            <w:tcBorders>
              <w:bottom w:val="single" w:sz="4" w:space="0" w:color="auto"/>
              <w:right w:val="single" w:sz="6" w:space="0" w:color="auto"/>
            </w:tcBorders>
          </w:tcPr>
          <w:p w:rsidR="00423E42" w:rsidRPr="00AE0D77" w:rsidRDefault="00423E42" w:rsidP="0099145A">
            <w:pPr>
              <w:wordWrap w:val="0"/>
              <w:spacing w:line="340" w:lineRule="exact"/>
              <w:ind w:right="284"/>
              <w:jc w:val="right"/>
              <w:rPr>
                <w:rFonts w:eastAsia="標楷體"/>
              </w:rPr>
            </w:pPr>
            <w:r w:rsidRPr="00AE0D77">
              <w:rPr>
                <w:rFonts w:eastAsia="標楷體"/>
              </w:rPr>
              <w:t>5</w:t>
            </w:r>
            <w:r w:rsidRPr="00AE0D77">
              <w:rPr>
                <w:rFonts w:eastAsia="標楷體"/>
              </w:rPr>
              <w:t>月</w:t>
            </w:r>
          </w:p>
        </w:tc>
        <w:tc>
          <w:tcPr>
            <w:tcW w:w="502" w:type="pct"/>
            <w:tcBorders>
              <w:left w:val="single" w:sz="6" w:space="0" w:color="auto"/>
              <w:bottom w:val="single" w:sz="4" w:space="0" w:color="auto"/>
            </w:tcBorders>
          </w:tcPr>
          <w:p w:rsidR="00423E42" w:rsidRPr="00AE0D77" w:rsidRDefault="00B160C7" w:rsidP="0099145A">
            <w:pPr>
              <w:pStyle w:val="ab"/>
              <w:spacing w:line="360" w:lineRule="exact"/>
              <w:ind w:rightChars="53" w:right="127"/>
              <w:rPr>
                <w:rFonts w:eastAsia="標楷體"/>
              </w:rPr>
            </w:pPr>
            <w:r w:rsidRPr="00AE0D77">
              <w:rPr>
                <w:rFonts w:eastAsia="標楷體"/>
              </w:rPr>
              <w:t>0.59</w:t>
            </w:r>
          </w:p>
        </w:tc>
        <w:tc>
          <w:tcPr>
            <w:tcW w:w="502" w:type="pct"/>
            <w:tcBorders>
              <w:bottom w:val="single" w:sz="4" w:space="0" w:color="auto"/>
            </w:tcBorders>
          </w:tcPr>
          <w:p w:rsidR="00423E42" w:rsidRPr="00AE0D77" w:rsidRDefault="00B160C7" w:rsidP="0099145A">
            <w:pPr>
              <w:snapToGrid w:val="0"/>
              <w:spacing w:line="340" w:lineRule="exact"/>
              <w:ind w:rightChars="50" w:right="120"/>
              <w:jc w:val="right"/>
              <w:rPr>
                <w:rFonts w:eastAsia="標楷體"/>
              </w:rPr>
            </w:pPr>
            <w:r w:rsidRPr="00AE0D77">
              <w:rPr>
                <w:rFonts w:eastAsia="標楷體"/>
              </w:rPr>
              <w:t>-0.17</w:t>
            </w:r>
          </w:p>
        </w:tc>
        <w:tc>
          <w:tcPr>
            <w:tcW w:w="890" w:type="pct"/>
            <w:tcBorders>
              <w:bottom w:val="single" w:sz="4" w:space="0" w:color="auto"/>
            </w:tcBorders>
            <w:vAlign w:val="center"/>
          </w:tcPr>
          <w:p w:rsidR="00423E42" w:rsidRPr="00AE0D77" w:rsidRDefault="00423E42" w:rsidP="00B160C7">
            <w:pPr>
              <w:snapToGrid w:val="0"/>
              <w:spacing w:line="340" w:lineRule="exact"/>
              <w:ind w:rightChars="200" w:right="480"/>
              <w:jc w:val="right"/>
              <w:rPr>
                <w:rFonts w:eastAsia="標楷體"/>
                <w:snapToGrid w:val="0"/>
              </w:rPr>
            </w:pPr>
            <w:r w:rsidRPr="00AE0D77">
              <w:rPr>
                <w:rFonts w:eastAsia="標楷體"/>
                <w:snapToGrid w:val="0"/>
              </w:rPr>
              <w:t>-0.</w:t>
            </w:r>
            <w:r w:rsidR="00B160C7" w:rsidRPr="00AE0D77">
              <w:rPr>
                <w:rFonts w:eastAsia="標楷體"/>
                <w:snapToGrid w:val="0"/>
              </w:rPr>
              <w:t>54</w:t>
            </w:r>
          </w:p>
        </w:tc>
        <w:tc>
          <w:tcPr>
            <w:tcW w:w="502" w:type="pct"/>
            <w:tcBorders>
              <w:bottom w:val="single" w:sz="4" w:space="0" w:color="auto"/>
            </w:tcBorders>
          </w:tcPr>
          <w:p w:rsidR="00423E42" w:rsidRPr="00AE0D77" w:rsidRDefault="00B160C7" w:rsidP="0099145A">
            <w:pPr>
              <w:pStyle w:val="ab"/>
              <w:spacing w:line="360" w:lineRule="exact"/>
              <w:ind w:rightChars="50" w:right="120"/>
              <w:rPr>
                <w:rFonts w:eastAsia="標楷體"/>
              </w:rPr>
            </w:pPr>
            <w:r w:rsidRPr="00AE0D77">
              <w:rPr>
                <w:rFonts w:eastAsia="標楷體"/>
              </w:rPr>
              <w:t>1.15</w:t>
            </w:r>
          </w:p>
        </w:tc>
        <w:tc>
          <w:tcPr>
            <w:tcW w:w="631" w:type="pct"/>
            <w:tcBorders>
              <w:bottom w:val="single" w:sz="4" w:space="0" w:color="auto"/>
            </w:tcBorders>
          </w:tcPr>
          <w:p w:rsidR="00423E42" w:rsidRPr="00AE0D77" w:rsidRDefault="00423E42" w:rsidP="0099145A">
            <w:pPr>
              <w:snapToGrid w:val="0"/>
              <w:spacing w:line="340" w:lineRule="exact"/>
              <w:ind w:rightChars="84" w:right="202"/>
              <w:jc w:val="right"/>
              <w:rPr>
                <w:rFonts w:eastAsia="標楷體"/>
              </w:rPr>
            </w:pPr>
            <w:r w:rsidRPr="00AE0D77">
              <w:rPr>
                <w:rFonts w:eastAsia="標楷體"/>
              </w:rPr>
              <w:t>0.</w:t>
            </w:r>
            <w:r w:rsidR="00057895" w:rsidRPr="00AE0D77">
              <w:rPr>
                <w:rFonts w:eastAsia="標楷體"/>
              </w:rPr>
              <w:t>98</w:t>
            </w:r>
          </w:p>
        </w:tc>
        <w:tc>
          <w:tcPr>
            <w:tcW w:w="1014" w:type="pct"/>
            <w:tcBorders>
              <w:bottom w:val="single" w:sz="4" w:space="0" w:color="auto"/>
            </w:tcBorders>
            <w:vAlign w:val="center"/>
          </w:tcPr>
          <w:p w:rsidR="00423E42" w:rsidRPr="00AE0D77" w:rsidRDefault="00423E42" w:rsidP="00057895">
            <w:pPr>
              <w:snapToGrid w:val="0"/>
              <w:spacing w:line="340" w:lineRule="exact"/>
              <w:ind w:rightChars="278" w:right="667"/>
              <w:jc w:val="right"/>
              <w:rPr>
                <w:rFonts w:eastAsia="標楷體"/>
              </w:rPr>
            </w:pPr>
            <w:r w:rsidRPr="00AE0D77">
              <w:rPr>
                <w:rFonts w:eastAsia="標楷體"/>
              </w:rPr>
              <w:t>0.</w:t>
            </w:r>
            <w:r w:rsidR="00057895" w:rsidRPr="00AE0D77">
              <w:rPr>
                <w:rFonts w:eastAsia="標楷體"/>
              </w:rPr>
              <w:t>45</w:t>
            </w:r>
          </w:p>
        </w:tc>
      </w:tr>
    </w:tbl>
    <w:p w:rsidR="00423E42" w:rsidRPr="00AE0D77" w:rsidRDefault="00423E42" w:rsidP="00423E42">
      <w:pPr>
        <w:pStyle w:val="af"/>
        <w:snapToGrid w:val="0"/>
        <w:spacing w:line="300" w:lineRule="auto"/>
        <w:ind w:leftChars="0" w:left="0" w:firstLineChars="0" w:firstLine="0"/>
        <w:jc w:val="left"/>
        <w:rPr>
          <w:sz w:val="28"/>
        </w:rPr>
      </w:pPr>
      <w:r w:rsidRPr="00AE0D77">
        <w:rPr>
          <w:snapToGrid w:val="0"/>
          <w:szCs w:val="22"/>
        </w:rPr>
        <w:t>資料來源：行政院主計總處。</w:t>
      </w:r>
      <w:r w:rsidRPr="00AE0D77">
        <w:rPr>
          <w:sz w:val="28"/>
        </w:rPr>
        <w:br w:type="page"/>
      </w:r>
    </w:p>
    <w:p w:rsidR="00423E42" w:rsidRPr="00AE0D77" w:rsidRDefault="00423E42" w:rsidP="00423E42">
      <w:pPr>
        <w:pStyle w:val="k3a"/>
        <w:tabs>
          <w:tab w:val="left" w:pos="540"/>
        </w:tabs>
        <w:spacing w:before="180" w:line="300" w:lineRule="auto"/>
        <w:ind w:leftChars="0" w:left="0" w:right="0" w:firstLineChars="0" w:firstLine="0"/>
        <w:rPr>
          <w:b/>
          <w:bCs/>
        </w:rPr>
      </w:pPr>
      <w:r w:rsidRPr="00AE0D77">
        <w:rPr>
          <w:b/>
          <w:bCs/>
        </w:rPr>
        <w:t>３、</w:t>
      </w:r>
      <w:r w:rsidRPr="00AE0D77">
        <w:rPr>
          <w:b/>
          <w:bCs/>
        </w:rPr>
        <w:t>10</w:t>
      </w:r>
      <w:r w:rsidR="000C47C5" w:rsidRPr="00AE0D77">
        <w:rPr>
          <w:b/>
          <w:bCs/>
        </w:rPr>
        <w:t>6</w:t>
      </w:r>
      <w:r w:rsidRPr="00AE0D77">
        <w:rPr>
          <w:b/>
          <w:bCs/>
        </w:rPr>
        <w:t>年</w:t>
      </w:r>
      <w:r w:rsidRPr="00AE0D77">
        <w:rPr>
          <w:b/>
          <w:bCs/>
        </w:rPr>
        <w:t>5</w:t>
      </w:r>
      <w:r w:rsidRPr="00AE0D77">
        <w:rPr>
          <w:b/>
          <w:bCs/>
        </w:rPr>
        <w:t>月美國西德州原油月均價每桶</w:t>
      </w:r>
      <w:r w:rsidR="000C47C5" w:rsidRPr="00AE0D77">
        <w:rPr>
          <w:b/>
          <w:bCs/>
        </w:rPr>
        <w:t>48.50</w:t>
      </w:r>
      <w:r w:rsidRPr="00AE0D77">
        <w:rPr>
          <w:b/>
          <w:bCs/>
        </w:rPr>
        <w:t>美元</w:t>
      </w:r>
    </w:p>
    <w:p w:rsidR="00423E42" w:rsidRPr="00AE0D77" w:rsidRDefault="000C47C5" w:rsidP="00423E42">
      <w:pPr>
        <w:pStyle w:val="k32"/>
        <w:topLinePunct/>
        <w:ind w:leftChars="118" w:left="283" w:rightChars="18" w:right="43" w:firstLineChars="202" w:firstLine="566"/>
      </w:pPr>
      <w:r w:rsidRPr="00AE0D77">
        <w:t>106</w:t>
      </w:r>
      <w:r w:rsidR="00423E42" w:rsidRPr="00AE0D77">
        <w:t>年</w:t>
      </w:r>
      <w:r w:rsidR="00423E42" w:rsidRPr="00AE0D77">
        <w:t>5</w:t>
      </w:r>
      <w:r w:rsidR="00423E42" w:rsidRPr="00AE0D77">
        <w:t>月美國西德州原油</w:t>
      </w:r>
      <w:r w:rsidR="00423E42" w:rsidRPr="00AE0D77">
        <w:t>(WTI)</w:t>
      </w:r>
      <w:r w:rsidR="00423E42" w:rsidRPr="00AE0D77">
        <w:t>現貨月均價為每桶</w:t>
      </w:r>
      <w:r w:rsidRPr="00AE0D77">
        <w:t>48.50</w:t>
      </w:r>
      <w:r w:rsidR="00423E42" w:rsidRPr="00AE0D77">
        <w:t>美元，較上月每桶</w:t>
      </w:r>
      <w:r w:rsidRPr="00AE0D77">
        <w:t>51.17</w:t>
      </w:r>
      <w:r w:rsidR="00423E42" w:rsidRPr="00AE0D77">
        <w:t>美元，</w:t>
      </w:r>
      <w:r w:rsidRPr="00AE0D77">
        <w:t>下跌</w:t>
      </w:r>
      <w:r w:rsidRPr="00AE0D77">
        <w:t>5.22</w:t>
      </w:r>
      <w:r w:rsidR="00423E42" w:rsidRPr="00AE0D77">
        <w:t>%</w:t>
      </w:r>
      <w:r w:rsidRPr="00AE0D77">
        <w:t>；杜拜及北海布蘭特價格亦分別下跌</w:t>
      </w:r>
      <w:r w:rsidRPr="00AE0D77">
        <w:t>4.12%</w:t>
      </w:r>
      <w:r w:rsidRPr="00AE0D77">
        <w:t>及</w:t>
      </w:r>
      <w:r w:rsidRPr="00AE0D77">
        <w:t>4.22%</w:t>
      </w:r>
      <w:r w:rsidR="00423E42" w:rsidRPr="00AE0D77">
        <w:t>。</w:t>
      </w:r>
    </w:p>
    <w:p w:rsidR="00423E42" w:rsidRPr="00AE0D77" w:rsidRDefault="00423E42" w:rsidP="00423E42">
      <w:pPr>
        <w:pStyle w:val="k32"/>
        <w:topLinePunct/>
        <w:ind w:leftChars="118" w:left="283" w:rightChars="18" w:right="43" w:firstLineChars="202" w:firstLine="566"/>
      </w:pPr>
      <w:r w:rsidRPr="00AE0D77">
        <w:t>美國能源資訊署</w:t>
      </w:r>
      <w:r w:rsidRPr="00AE0D77">
        <w:t>(EIA)201</w:t>
      </w:r>
      <w:r w:rsidR="00DC21BC" w:rsidRPr="00AE0D77">
        <w:t>7</w:t>
      </w:r>
      <w:r w:rsidRPr="00AE0D77">
        <w:t>年</w:t>
      </w:r>
      <w:r w:rsidRPr="00AE0D77">
        <w:t>6</w:t>
      </w:r>
      <w:r w:rsidRPr="00AE0D77">
        <w:t>月預測未來</w:t>
      </w:r>
      <w:r w:rsidRPr="00AE0D77">
        <w:t>3</w:t>
      </w:r>
      <w:r w:rsidRPr="00AE0D77">
        <w:t>個月</w:t>
      </w:r>
      <w:r w:rsidRPr="00AE0D77">
        <w:t>(201</w:t>
      </w:r>
      <w:r w:rsidR="00DC21BC" w:rsidRPr="00AE0D77">
        <w:t>7</w:t>
      </w:r>
      <w:r w:rsidRPr="00AE0D77">
        <w:t>年</w:t>
      </w:r>
      <w:r w:rsidRPr="00AE0D77">
        <w:t>6~</w:t>
      </w:r>
      <w:r w:rsidRPr="00AE0D77">
        <w:t>～</w:t>
      </w:r>
      <w:r w:rsidRPr="00AE0D77">
        <w:t>8</w:t>
      </w:r>
      <w:r w:rsidRPr="00AE0D77">
        <w:t>月</w:t>
      </w:r>
      <w:r w:rsidRPr="00AE0D77">
        <w:t>)</w:t>
      </w:r>
      <w:r w:rsidRPr="00AE0D77">
        <w:t>的</w:t>
      </w:r>
      <w:r w:rsidRPr="00AE0D77">
        <w:t>WTI</w:t>
      </w:r>
      <w:r w:rsidR="00DC21BC" w:rsidRPr="00AE0D77">
        <w:t>月均價將於</w:t>
      </w:r>
      <w:r w:rsidRPr="00AE0D77">
        <w:t>每桶</w:t>
      </w:r>
      <w:r w:rsidR="00DC21BC" w:rsidRPr="00AE0D77">
        <w:t>50</w:t>
      </w:r>
      <w:r w:rsidR="00DC21BC" w:rsidRPr="00AE0D77">
        <w:t>至</w:t>
      </w:r>
      <w:r w:rsidR="00DC21BC" w:rsidRPr="00AE0D77">
        <w:t>54</w:t>
      </w:r>
      <w:r w:rsidR="00DC21BC" w:rsidRPr="00AE0D77">
        <w:t>美元區間波動</w:t>
      </w:r>
      <w:r w:rsidRPr="00AE0D77">
        <w:t>；</w:t>
      </w:r>
      <w:r w:rsidRPr="00AE0D77">
        <w:t>201</w:t>
      </w:r>
      <w:r w:rsidR="00DC21BC" w:rsidRPr="00AE0D77">
        <w:t>7</w:t>
      </w:r>
      <w:r w:rsidRPr="00AE0D77">
        <w:t>年第</w:t>
      </w:r>
      <w:r w:rsidRPr="00AE0D77">
        <w:t>2</w:t>
      </w:r>
      <w:r w:rsidRPr="00AE0D77">
        <w:t>、</w:t>
      </w:r>
      <w:r w:rsidRPr="00AE0D77">
        <w:t>3</w:t>
      </w:r>
      <w:r w:rsidRPr="00AE0D77">
        <w:t>季</w:t>
      </w:r>
      <w:r w:rsidR="00604ABF" w:rsidRPr="00AE0D77">
        <w:t>WTI</w:t>
      </w:r>
      <w:r w:rsidRPr="00AE0D77">
        <w:t>平均價格為每桶</w:t>
      </w:r>
      <w:r w:rsidR="00DC21BC" w:rsidRPr="00AE0D77">
        <w:t>49.82</w:t>
      </w:r>
      <w:r w:rsidRPr="00AE0D77">
        <w:t>美元及</w:t>
      </w:r>
      <w:r w:rsidR="00DC21BC" w:rsidRPr="00AE0D77">
        <w:t>51.68</w:t>
      </w:r>
      <w:r w:rsidRPr="00AE0D77">
        <w:t>美元。</w:t>
      </w:r>
    </w:p>
    <w:p w:rsidR="00423E42" w:rsidRPr="00AE0D77" w:rsidRDefault="00423E42" w:rsidP="00423E42">
      <w:pPr>
        <w:pStyle w:val="k32"/>
        <w:topLinePunct/>
        <w:ind w:leftChars="118" w:left="283" w:rightChars="18" w:right="43" w:firstLineChars="202" w:firstLine="566"/>
      </w:pPr>
    </w:p>
    <w:p w:rsidR="00423E42" w:rsidRPr="00AE0D77" w:rsidRDefault="00423E42" w:rsidP="00423E42">
      <w:pPr>
        <w:pStyle w:val="k3a"/>
        <w:spacing w:before="180" w:line="240" w:lineRule="atLeast"/>
        <w:ind w:leftChars="0" w:left="0" w:firstLineChars="0" w:firstLine="0"/>
        <w:jc w:val="center"/>
        <w:rPr>
          <w:b/>
          <w:snapToGrid w:val="0"/>
          <w:kern w:val="2"/>
          <w:szCs w:val="24"/>
        </w:rPr>
      </w:pPr>
      <w:r w:rsidRPr="00AE0D77">
        <w:rPr>
          <w:b/>
          <w:snapToGrid w:val="0"/>
          <w:kern w:val="2"/>
          <w:szCs w:val="24"/>
        </w:rPr>
        <w:t>表</w:t>
      </w:r>
      <w:r w:rsidRPr="00AE0D77">
        <w:rPr>
          <w:b/>
          <w:snapToGrid w:val="0"/>
          <w:kern w:val="2"/>
          <w:szCs w:val="24"/>
        </w:rPr>
        <w:t xml:space="preserve"> 2-7-3   </w:t>
      </w:r>
      <w:r w:rsidRPr="00AE0D77">
        <w:rPr>
          <w:b/>
          <w:snapToGrid w:val="0"/>
          <w:kern w:val="2"/>
          <w:szCs w:val="24"/>
        </w:rPr>
        <w:t>近年國際主要原油價格變動</w:t>
      </w:r>
    </w:p>
    <w:p w:rsidR="00423E42" w:rsidRPr="00AE0D77" w:rsidRDefault="00CF4A5C" w:rsidP="00423E42">
      <w:pPr>
        <w:snapToGrid w:val="0"/>
        <w:spacing w:line="240" w:lineRule="atLeast"/>
        <w:jc w:val="center"/>
        <w:rPr>
          <w:rFonts w:eastAsia="標楷體"/>
          <w:sz w:val="18"/>
        </w:rPr>
      </w:pPr>
      <w:r w:rsidRPr="00AE0D77">
        <w:rPr>
          <w:rFonts w:eastAsia="標楷體"/>
          <w:noProof/>
        </w:rPr>
        <mc:AlternateContent>
          <mc:Choice Requires="wps">
            <w:drawing>
              <wp:anchor distT="0" distB="0" distL="180340" distR="114300" simplePos="0" relativeHeight="252440064" behindDoc="0" locked="0" layoutInCell="1" allowOverlap="1" wp14:anchorId="4F79FB65" wp14:editId="15AE375F">
                <wp:simplePos x="0" y="0"/>
                <wp:positionH relativeFrom="column">
                  <wp:posOffset>1534795</wp:posOffset>
                </wp:positionH>
                <wp:positionV relativeFrom="page">
                  <wp:posOffset>5478780</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5A67" w:rsidRPr="003A42E7" w:rsidRDefault="006D5A67" w:rsidP="00423E42">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5</w:t>
                            </w:r>
                            <w:r w:rsidRPr="003A42E7">
                              <w:rPr>
                                <w:rFonts w:eastAsia="標楷體"/>
                                <w:b/>
                              </w:rPr>
                              <w:t>月油價</w:t>
                            </w:r>
                            <w:r>
                              <w:rPr>
                                <w:rFonts w:eastAsia="標楷體" w:hint="eastAsia"/>
                                <w:b/>
                              </w:rPr>
                              <w:t>：</w:t>
                            </w:r>
                          </w:p>
                          <w:p w:rsidR="006D5A67" w:rsidRDefault="006D5A67" w:rsidP="00423E42">
                            <w:pPr>
                              <w:rPr>
                                <w:rFonts w:eastAsia="標楷體"/>
                                <w:b/>
                              </w:rPr>
                            </w:pPr>
                            <w:r w:rsidRPr="003A42E7">
                              <w:rPr>
                                <w:rFonts w:eastAsia="標楷體"/>
                                <w:b/>
                              </w:rPr>
                              <w:t xml:space="preserve">WTI         </w:t>
                            </w:r>
                            <w:r>
                              <w:rPr>
                                <w:rFonts w:eastAsia="標楷體" w:hint="eastAsia"/>
                                <w:b/>
                              </w:rPr>
                              <w:t>48.50</w:t>
                            </w:r>
                          </w:p>
                          <w:p w:rsidR="006D5A67" w:rsidRDefault="006D5A67" w:rsidP="00423E4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50.30</w:t>
                            </w:r>
                          </w:p>
                          <w:p w:rsidR="006D5A67" w:rsidRPr="003A42E7" w:rsidRDefault="006D5A67" w:rsidP="00423E42">
                            <w:pPr>
                              <w:rPr>
                                <w:rFonts w:eastAsia="標楷體"/>
                                <w:b/>
                              </w:rPr>
                            </w:pPr>
                            <w:r w:rsidRPr="003A42E7">
                              <w:rPr>
                                <w:rFonts w:eastAsia="標楷體"/>
                                <w:b/>
                              </w:rPr>
                              <w:t>杜拜</w:t>
                            </w:r>
                            <w:r w:rsidRPr="003A42E7">
                              <w:rPr>
                                <w:rFonts w:eastAsia="標楷體"/>
                                <w:b/>
                              </w:rPr>
                              <w:t xml:space="preserve">         </w:t>
                            </w:r>
                            <w:r>
                              <w:rPr>
                                <w:rFonts w:eastAsia="標楷體" w:hint="eastAsia"/>
                                <w:b/>
                              </w:rPr>
                              <w:t>50.82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20.85pt;margin-top:431.4pt;width:156pt;height:85.65pt;z-index:25244006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" filled="f" fillcolor="#ff9" stroked="f">
                <v:textbox>
                  <w:txbxContent>
                    <w:p w:rsidR="006D5A67" w:rsidRPr="003A42E7" w:rsidRDefault="006D5A67" w:rsidP="00423E42">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5</w:t>
                      </w:r>
                      <w:r w:rsidRPr="003A42E7">
                        <w:rPr>
                          <w:rFonts w:eastAsia="標楷體"/>
                          <w:b/>
                        </w:rPr>
                        <w:t>月油價</w:t>
                      </w:r>
                      <w:r>
                        <w:rPr>
                          <w:rFonts w:eastAsia="標楷體" w:hint="eastAsia"/>
                          <w:b/>
                        </w:rPr>
                        <w:t>：</w:t>
                      </w:r>
                    </w:p>
                    <w:p w:rsidR="006D5A67" w:rsidRDefault="006D5A67" w:rsidP="00423E42">
                      <w:pPr>
                        <w:rPr>
                          <w:rFonts w:eastAsia="標楷體"/>
                          <w:b/>
                        </w:rPr>
                      </w:pPr>
                      <w:r w:rsidRPr="003A42E7">
                        <w:rPr>
                          <w:rFonts w:eastAsia="標楷體"/>
                          <w:b/>
                        </w:rPr>
                        <w:t xml:space="preserve">WTI         </w:t>
                      </w:r>
                      <w:r>
                        <w:rPr>
                          <w:rFonts w:eastAsia="標楷體" w:hint="eastAsia"/>
                          <w:b/>
                        </w:rPr>
                        <w:t>48.50</w:t>
                      </w:r>
                    </w:p>
                    <w:p w:rsidR="006D5A67" w:rsidRDefault="006D5A67" w:rsidP="00423E4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50.30</w:t>
                      </w:r>
                    </w:p>
                    <w:p w:rsidR="006D5A67" w:rsidRPr="003A42E7" w:rsidRDefault="006D5A67" w:rsidP="00423E42">
                      <w:pPr>
                        <w:rPr>
                          <w:rFonts w:eastAsia="標楷體"/>
                          <w:b/>
                        </w:rPr>
                      </w:pPr>
                      <w:r w:rsidRPr="003A42E7">
                        <w:rPr>
                          <w:rFonts w:eastAsia="標楷體"/>
                          <w:b/>
                        </w:rPr>
                        <w:t>杜拜</w:t>
                      </w:r>
                      <w:r w:rsidRPr="003A42E7">
                        <w:rPr>
                          <w:rFonts w:eastAsia="標楷體"/>
                          <w:b/>
                        </w:rPr>
                        <w:t xml:space="preserve">         </w:t>
                      </w:r>
                      <w:r>
                        <w:rPr>
                          <w:rFonts w:eastAsia="標楷體" w:hint="eastAsia"/>
                          <w:b/>
                        </w:rPr>
                        <w:t>50.82</w:t>
                      </w:r>
                    </w:p>
                  </w:txbxContent>
                </v:textbox>
                <w10:wrap anchory="page"/>
              </v:shape>
            </w:pict>
          </mc:Fallback>
        </mc:AlternateContent>
      </w:r>
      <w:r w:rsidRPr="00AE0D77">
        <w:rPr>
          <w:rFonts w:eastAsia="標楷體"/>
          <w:noProof/>
        </w:rPr>
        <w:drawing>
          <wp:inline distT="0" distB="0" distL="0" distR="0" wp14:anchorId="578EFDA5" wp14:editId="23A57D62">
            <wp:extent cx="5486400" cy="3276600"/>
            <wp:effectExtent l="0" t="0" r="0"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3E42" w:rsidRPr="00AE0D77" w:rsidRDefault="00423E42" w:rsidP="00423E42">
      <w:pPr>
        <w:pStyle w:val="k3a"/>
        <w:tabs>
          <w:tab w:val="left" w:pos="540"/>
        </w:tabs>
        <w:spacing w:before="180" w:line="300" w:lineRule="auto"/>
        <w:ind w:leftChars="0" w:left="0" w:right="0" w:firstLineChars="0" w:firstLine="0"/>
        <w:rPr>
          <w:sz w:val="22"/>
          <w:szCs w:val="22"/>
        </w:rPr>
      </w:pPr>
      <w:r w:rsidRPr="00AE0D77">
        <w:rPr>
          <w:sz w:val="22"/>
          <w:szCs w:val="22"/>
        </w:rPr>
        <w:t>資料來源：經濟部能源局。</w:t>
      </w:r>
      <w:r w:rsidRPr="00AE0D77">
        <w:rPr>
          <w:b/>
          <w:bCs/>
        </w:rPr>
        <w:br w:type="page"/>
      </w:r>
    </w:p>
    <w:p w:rsidR="00423E42" w:rsidRPr="00AE0D77" w:rsidRDefault="00423E42" w:rsidP="00423E42">
      <w:pPr>
        <w:pStyle w:val="k3a"/>
        <w:tabs>
          <w:tab w:val="left" w:pos="540"/>
        </w:tabs>
        <w:spacing w:before="180" w:line="300" w:lineRule="auto"/>
        <w:ind w:leftChars="0" w:left="0" w:right="0" w:firstLineChars="0" w:firstLine="0"/>
        <w:rPr>
          <w:b/>
          <w:bCs/>
        </w:rPr>
      </w:pPr>
      <w:r w:rsidRPr="00AE0D77">
        <w:rPr>
          <w:b/>
          <w:bCs/>
        </w:rPr>
        <w:t>４、</w:t>
      </w:r>
      <w:r w:rsidRPr="00AE0D77">
        <w:rPr>
          <w:b/>
          <w:bCs/>
        </w:rPr>
        <w:t>10</w:t>
      </w:r>
      <w:r w:rsidR="00EB209E" w:rsidRPr="00AE0D77">
        <w:rPr>
          <w:b/>
          <w:bCs/>
        </w:rPr>
        <w:t>6</w:t>
      </w:r>
      <w:r w:rsidRPr="00AE0D77">
        <w:rPr>
          <w:b/>
          <w:bCs/>
        </w:rPr>
        <w:t>年</w:t>
      </w:r>
      <w:r w:rsidRPr="00AE0D77">
        <w:rPr>
          <w:b/>
          <w:bCs/>
        </w:rPr>
        <w:t>5</w:t>
      </w:r>
      <w:r w:rsidRPr="00AE0D77">
        <w:rPr>
          <w:b/>
          <w:bCs/>
        </w:rPr>
        <w:t>月</w:t>
      </w:r>
      <w:r w:rsidR="00EC287C" w:rsidRPr="00AE0D77">
        <w:rPr>
          <w:b/>
          <w:bCs/>
        </w:rPr>
        <w:t>除黃豆外，小麥</w:t>
      </w:r>
      <w:r w:rsidRPr="00AE0D77">
        <w:rPr>
          <w:b/>
          <w:bCs/>
        </w:rPr>
        <w:t>及</w:t>
      </w:r>
      <w:r w:rsidR="006561D3" w:rsidRPr="00AE0D77">
        <w:rPr>
          <w:b/>
          <w:bCs/>
        </w:rPr>
        <w:t>玉</w:t>
      </w:r>
      <w:r w:rsidRPr="00AE0D77">
        <w:rPr>
          <w:b/>
          <w:bCs/>
        </w:rPr>
        <w:t>米期貨價格</w:t>
      </w:r>
      <w:r w:rsidR="00EB209E" w:rsidRPr="00AE0D77">
        <w:rPr>
          <w:b/>
          <w:bCs/>
        </w:rPr>
        <w:t>較上月</w:t>
      </w:r>
      <w:r w:rsidR="00EC287C" w:rsidRPr="00AE0D77">
        <w:rPr>
          <w:b/>
          <w:bCs/>
        </w:rPr>
        <w:t>上漲</w:t>
      </w:r>
    </w:p>
    <w:p w:rsidR="00423E42" w:rsidRPr="00AE0D77" w:rsidRDefault="00423E42" w:rsidP="00423E42">
      <w:pPr>
        <w:autoSpaceDE w:val="0"/>
        <w:autoSpaceDN w:val="0"/>
        <w:snapToGrid w:val="0"/>
        <w:spacing w:beforeLines="50" w:before="180" w:line="300" w:lineRule="auto"/>
        <w:ind w:rightChars="18" w:right="43" w:firstLineChars="202" w:firstLine="566"/>
        <w:rPr>
          <w:rFonts w:eastAsia="標楷體"/>
          <w:sz w:val="28"/>
        </w:rPr>
      </w:pPr>
      <w:r w:rsidRPr="00AE0D77">
        <w:rPr>
          <w:rFonts w:eastAsia="標楷體"/>
          <w:sz w:val="28"/>
        </w:rPr>
        <w:t>根據行政院主計總處公布之國際大宗物資期貨價格</w:t>
      </w:r>
      <w:r w:rsidRPr="00AE0D77">
        <w:rPr>
          <w:rFonts w:eastAsia="標楷體"/>
          <w:sz w:val="28"/>
        </w:rPr>
        <w:t>(</w:t>
      </w:r>
      <w:r w:rsidRPr="00AE0D77">
        <w:rPr>
          <w:rFonts w:eastAsia="標楷體"/>
          <w:sz w:val="28"/>
        </w:rPr>
        <w:t>芝加哥穀物價格</w:t>
      </w:r>
      <w:r w:rsidRPr="00AE0D77">
        <w:rPr>
          <w:rFonts w:eastAsia="標楷體"/>
          <w:sz w:val="28"/>
        </w:rPr>
        <w:t>)</w:t>
      </w:r>
      <w:r w:rsidRPr="00AE0D77">
        <w:rPr>
          <w:rFonts w:eastAsia="標楷體"/>
          <w:sz w:val="28"/>
        </w:rPr>
        <w:t>顯示：</w:t>
      </w:r>
    </w:p>
    <w:p w:rsidR="00423E42" w:rsidRPr="00AE0D77" w:rsidRDefault="00423E42" w:rsidP="00423E42">
      <w:pPr>
        <w:snapToGrid w:val="0"/>
        <w:spacing w:before="50" w:line="300" w:lineRule="auto"/>
        <w:ind w:left="283" w:rightChars="18" w:right="43" w:hangingChars="101" w:hanging="283"/>
        <w:jc w:val="both"/>
        <w:rPr>
          <w:rFonts w:eastAsia="標楷體"/>
          <w:sz w:val="28"/>
        </w:rPr>
      </w:pPr>
      <w:r w:rsidRPr="00AE0D77">
        <w:rPr>
          <w:rFonts w:eastAsia="標楷體"/>
          <w:sz w:val="28"/>
        </w:rPr>
        <w:t>－黃豆價格</w:t>
      </w:r>
      <w:r w:rsidRPr="00AE0D77">
        <w:rPr>
          <w:rFonts w:eastAsia="標楷體"/>
          <w:sz w:val="28"/>
        </w:rPr>
        <w:t>101</w:t>
      </w:r>
      <w:r w:rsidRPr="00AE0D77">
        <w:rPr>
          <w:rFonts w:eastAsia="標楷體"/>
          <w:sz w:val="28"/>
        </w:rPr>
        <w:t>年</w:t>
      </w:r>
      <w:r w:rsidRPr="00AE0D77">
        <w:rPr>
          <w:rFonts w:eastAsia="標楷體"/>
          <w:sz w:val="28"/>
        </w:rPr>
        <w:t>8</w:t>
      </w:r>
      <w:r w:rsidRPr="00AE0D77">
        <w:rPr>
          <w:rFonts w:eastAsia="標楷體"/>
          <w:sz w:val="28"/>
        </w:rPr>
        <w:t>月達到歷史新高點每英斗</w:t>
      </w:r>
      <w:r w:rsidRPr="00AE0D77">
        <w:rPr>
          <w:rFonts w:eastAsia="標楷體"/>
          <w:sz w:val="28"/>
        </w:rPr>
        <w:t>17.65</w:t>
      </w:r>
      <w:r w:rsidRPr="00AE0D77">
        <w:rPr>
          <w:rFonts w:eastAsia="標楷體"/>
          <w:sz w:val="28"/>
        </w:rPr>
        <w:t>美元。</w:t>
      </w:r>
      <w:r w:rsidRPr="00AE0D77">
        <w:rPr>
          <w:rFonts w:eastAsia="標楷體"/>
          <w:sz w:val="28"/>
        </w:rPr>
        <w:t>10</w:t>
      </w:r>
      <w:r w:rsidR="00EB209E" w:rsidRPr="00AE0D77">
        <w:rPr>
          <w:rFonts w:eastAsia="標楷體"/>
          <w:sz w:val="28"/>
        </w:rPr>
        <w:t>6</w:t>
      </w:r>
      <w:r w:rsidRPr="00AE0D77">
        <w:rPr>
          <w:rFonts w:eastAsia="標楷體"/>
          <w:sz w:val="28"/>
        </w:rPr>
        <w:t>年</w:t>
      </w:r>
      <w:r w:rsidRPr="00AE0D77">
        <w:rPr>
          <w:rFonts w:eastAsia="標楷體"/>
          <w:sz w:val="28"/>
        </w:rPr>
        <w:t>5</w:t>
      </w:r>
      <w:r w:rsidRPr="00AE0D77">
        <w:rPr>
          <w:rFonts w:eastAsia="標楷體"/>
          <w:sz w:val="28"/>
        </w:rPr>
        <w:t>月為</w:t>
      </w:r>
      <w:r w:rsidR="00EB209E" w:rsidRPr="00AE0D77">
        <w:rPr>
          <w:rFonts w:eastAsia="標楷體"/>
          <w:sz w:val="28"/>
        </w:rPr>
        <w:t>9.16</w:t>
      </w:r>
      <w:r w:rsidRPr="00AE0D77">
        <w:rPr>
          <w:rFonts w:eastAsia="標楷體"/>
          <w:sz w:val="28"/>
        </w:rPr>
        <w:t>美元，較上月</w:t>
      </w:r>
      <w:r w:rsidR="00EC287C" w:rsidRPr="00AE0D77">
        <w:rPr>
          <w:rFonts w:eastAsia="標楷體"/>
          <w:sz w:val="28"/>
        </w:rPr>
        <w:t>下跌</w:t>
      </w:r>
      <w:r w:rsidR="00EB209E" w:rsidRPr="00AE0D77">
        <w:rPr>
          <w:rFonts w:eastAsia="標楷體"/>
          <w:sz w:val="28"/>
        </w:rPr>
        <w:t>3.1</w:t>
      </w:r>
      <w:r w:rsidRPr="00AE0D77">
        <w:rPr>
          <w:rFonts w:eastAsia="標楷體"/>
          <w:sz w:val="28"/>
        </w:rPr>
        <w:t>%</w:t>
      </w:r>
      <w:r w:rsidRPr="00AE0D77">
        <w:rPr>
          <w:rFonts w:eastAsia="標楷體"/>
          <w:sz w:val="28"/>
        </w:rPr>
        <w:t>，較上年同月</w:t>
      </w:r>
      <w:r w:rsidR="00EB209E" w:rsidRPr="00AE0D77">
        <w:rPr>
          <w:rFonts w:eastAsia="標楷體"/>
          <w:sz w:val="28"/>
        </w:rPr>
        <w:t>下跌</w:t>
      </w:r>
      <w:r w:rsidR="00EB209E" w:rsidRPr="00AE0D77">
        <w:rPr>
          <w:rFonts w:eastAsia="標楷體"/>
          <w:sz w:val="28"/>
        </w:rPr>
        <w:t>15.1</w:t>
      </w:r>
      <w:r w:rsidRPr="00AE0D77">
        <w:rPr>
          <w:rFonts w:eastAsia="標楷體"/>
          <w:sz w:val="28"/>
        </w:rPr>
        <w:t>%</w:t>
      </w:r>
      <w:r w:rsidRPr="00AE0D77">
        <w:rPr>
          <w:rFonts w:eastAsia="標楷體"/>
          <w:sz w:val="28"/>
        </w:rPr>
        <w:t>。</w:t>
      </w:r>
    </w:p>
    <w:p w:rsidR="00423E42" w:rsidRPr="00AE0D77" w:rsidRDefault="00423E42" w:rsidP="00423E42">
      <w:pPr>
        <w:snapToGrid w:val="0"/>
        <w:spacing w:before="50" w:line="300" w:lineRule="auto"/>
        <w:ind w:left="283" w:rightChars="18" w:right="43" w:hangingChars="101" w:hanging="283"/>
        <w:jc w:val="both"/>
        <w:rPr>
          <w:rFonts w:eastAsia="標楷體"/>
          <w:sz w:val="28"/>
        </w:rPr>
      </w:pPr>
      <w:r w:rsidRPr="00AE0D77">
        <w:rPr>
          <w:rFonts w:eastAsia="標楷體"/>
          <w:sz w:val="28"/>
        </w:rPr>
        <w:t>－小麥價格在</w:t>
      </w:r>
      <w:r w:rsidRPr="00AE0D77">
        <w:rPr>
          <w:rFonts w:eastAsia="標楷體"/>
          <w:sz w:val="28"/>
        </w:rPr>
        <w:t>97</w:t>
      </w:r>
      <w:r w:rsidRPr="00AE0D77">
        <w:rPr>
          <w:rFonts w:eastAsia="標楷體"/>
          <w:sz w:val="28"/>
        </w:rPr>
        <w:t>年</w:t>
      </w:r>
      <w:r w:rsidRPr="00AE0D77">
        <w:rPr>
          <w:rFonts w:eastAsia="標楷體"/>
          <w:sz w:val="28"/>
        </w:rPr>
        <w:t>2</w:t>
      </w:r>
      <w:r w:rsidRPr="00AE0D77">
        <w:rPr>
          <w:rFonts w:eastAsia="標楷體"/>
          <w:sz w:val="28"/>
        </w:rPr>
        <w:t>月達到最高點每英斗</w:t>
      </w:r>
      <w:r w:rsidRPr="00AE0D77">
        <w:rPr>
          <w:rFonts w:eastAsia="標楷體"/>
          <w:sz w:val="28"/>
        </w:rPr>
        <w:t>10.73</w:t>
      </w:r>
      <w:r w:rsidRPr="00AE0D77">
        <w:rPr>
          <w:rFonts w:eastAsia="標楷體"/>
          <w:sz w:val="28"/>
        </w:rPr>
        <w:t>美元。</w:t>
      </w:r>
      <w:r w:rsidRPr="00AE0D77">
        <w:rPr>
          <w:rFonts w:eastAsia="標楷體"/>
          <w:sz w:val="28"/>
        </w:rPr>
        <w:t>10</w:t>
      </w:r>
      <w:r w:rsidR="00EB209E" w:rsidRPr="00AE0D77">
        <w:rPr>
          <w:rFonts w:eastAsia="標楷體"/>
          <w:sz w:val="28"/>
        </w:rPr>
        <w:t>6</w:t>
      </w:r>
      <w:r w:rsidRPr="00AE0D77">
        <w:rPr>
          <w:rFonts w:eastAsia="標楷體"/>
          <w:sz w:val="28"/>
        </w:rPr>
        <w:t>年</w:t>
      </w:r>
      <w:r w:rsidRPr="00AE0D77">
        <w:rPr>
          <w:rFonts w:eastAsia="標楷體"/>
          <w:sz w:val="28"/>
        </w:rPr>
        <w:t>5</w:t>
      </w:r>
      <w:r w:rsidRPr="00AE0D77">
        <w:rPr>
          <w:rFonts w:eastAsia="標楷體"/>
          <w:sz w:val="28"/>
        </w:rPr>
        <w:t>月為</w:t>
      </w:r>
      <w:r w:rsidRPr="00AE0D77">
        <w:rPr>
          <w:rFonts w:eastAsia="標楷體"/>
          <w:sz w:val="28"/>
        </w:rPr>
        <w:t>4.</w:t>
      </w:r>
      <w:r w:rsidR="00EB209E" w:rsidRPr="00AE0D77">
        <w:rPr>
          <w:rFonts w:eastAsia="標楷體"/>
          <w:sz w:val="28"/>
        </w:rPr>
        <w:t>29</w:t>
      </w:r>
      <w:r w:rsidRPr="00AE0D77">
        <w:rPr>
          <w:rFonts w:eastAsia="標楷體"/>
          <w:sz w:val="28"/>
        </w:rPr>
        <w:t>美元，較上月</w:t>
      </w:r>
      <w:r w:rsidR="00EC287C" w:rsidRPr="00AE0D77">
        <w:rPr>
          <w:rFonts w:eastAsia="標楷體"/>
          <w:sz w:val="28"/>
        </w:rPr>
        <w:t>上漲</w:t>
      </w:r>
      <w:r w:rsidR="00EB209E" w:rsidRPr="00AE0D77">
        <w:rPr>
          <w:rFonts w:eastAsia="標楷體"/>
          <w:sz w:val="28"/>
        </w:rPr>
        <w:t>2.4</w:t>
      </w:r>
      <w:r w:rsidRPr="00AE0D77">
        <w:rPr>
          <w:rFonts w:eastAsia="標楷體"/>
          <w:sz w:val="28"/>
        </w:rPr>
        <w:t>%</w:t>
      </w:r>
      <w:r w:rsidRPr="00AE0D77">
        <w:rPr>
          <w:rFonts w:eastAsia="標楷體"/>
          <w:sz w:val="28"/>
        </w:rPr>
        <w:t>，較上年同月下跌</w:t>
      </w:r>
      <w:r w:rsidR="00EB209E" w:rsidRPr="00AE0D77">
        <w:rPr>
          <w:rFonts w:eastAsia="標楷體"/>
          <w:sz w:val="28"/>
        </w:rPr>
        <w:t>7.7</w:t>
      </w:r>
      <w:r w:rsidRPr="00AE0D77">
        <w:rPr>
          <w:rFonts w:eastAsia="標楷體"/>
          <w:sz w:val="28"/>
        </w:rPr>
        <w:t>%</w:t>
      </w:r>
      <w:r w:rsidRPr="00AE0D77">
        <w:rPr>
          <w:rFonts w:eastAsia="標楷體"/>
          <w:sz w:val="28"/>
        </w:rPr>
        <w:t>。</w:t>
      </w:r>
    </w:p>
    <w:p w:rsidR="00423E42" w:rsidRPr="00AE0D77" w:rsidRDefault="00423E42" w:rsidP="00423E42">
      <w:pPr>
        <w:snapToGrid w:val="0"/>
        <w:spacing w:before="50" w:line="300" w:lineRule="auto"/>
        <w:ind w:left="283" w:rightChars="18" w:right="43" w:hangingChars="101" w:hanging="283"/>
        <w:jc w:val="both"/>
        <w:rPr>
          <w:rFonts w:eastAsia="標楷體"/>
          <w:sz w:val="28"/>
        </w:rPr>
      </w:pPr>
      <w:r w:rsidRPr="00AE0D77">
        <w:rPr>
          <w:rFonts w:eastAsia="標楷體"/>
          <w:sz w:val="28"/>
        </w:rPr>
        <w:t>－玉米價格在</w:t>
      </w:r>
      <w:r w:rsidRPr="00AE0D77">
        <w:rPr>
          <w:rFonts w:eastAsia="標楷體"/>
          <w:sz w:val="28"/>
        </w:rPr>
        <w:t>101</w:t>
      </w:r>
      <w:r w:rsidRPr="00AE0D77">
        <w:rPr>
          <w:rFonts w:eastAsia="標楷體"/>
          <w:sz w:val="28"/>
        </w:rPr>
        <w:t>年</w:t>
      </w:r>
      <w:r w:rsidRPr="00AE0D77">
        <w:rPr>
          <w:rFonts w:eastAsia="標楷體"/>
          <w:sz w:val="28"/>
        </w:rPr>
        <w:t>7</w:t>
      </w:r>
      <w:r w:rsidRPr="00AE0D77">
        <w:rPr>
          <w:rFonts w:eastAsia="標楷體"/>
          <w:sz w:val="28"/>
        </w:rPr>
        <w:t>月達到歷史新高點每英斗</w:t>
      </w:r>
      <w:r w:rsidRPr="00AE0D77">
        <w:rPr>
          <w:rFonts w:eastAsia="標楷體"/>
          <w:sz w:val="28"/>
        </w:rPr>
        <w:t>8.07</w:t>
      </w:r>
      <w:r w:rsidRPr="00AE0D77">
        <w:rPr>
          <w:rFonts w:eastAsia="標楷體"/>
          <w:sz w:val="28"/>
        </w:rPr>
        <w:t>美元。</w:t>
      </w:r>
      <w:r w:rsidRPr="00AE0D77">
        <w:rPr>
          <w:rFonts w:eastAsia="標楷體"/>
          <w:sz w:val="28"/>
        </w:rPr>
        <w:t>10</w:t>
      </w:r>
      <w:r w:rsidR="00EB209E" w:rsidRPr="00AE0D77">
        <w:rPr>
          <w:rFonts w:eastAsia="標楷體"/>
          <w:sz w:val="28"/>
        </w:rPr>
        <w:t>6</w:t>
      </w:r>
      <w:r w:rsidRPr="00AE0D77">
        <w:rPr>
          <w:rFonts w:eastAsia="標楷體"/>
          <w:sz w:val="28"/>
        </w:rPr>
        <w:t>年</w:t>
      </w:r>
      <w:r w:rsidRPr="00AE0D77">
        <w:rPr>
          <w:rFonts w:eastAsia="標楷體"/>
          <w:sz w:val="28"/>
        </w:rPr>
        <w:t>5</w:t>
      </w:r>
      <w:r w:rsidRPr="00AE0D77">
        <w:rPr>
          <w:rFonts w:eastAsia="標楷體"/>
          <w:sz w:val="28"/>
        </w:rPr>
        <w:t>月為</w:t>
      </w:r>
      <w:r w:rsidR="00EB209E" w:rsidRPr="00AE0D77">
        <w:rPr>
          <w:rFonts w:eastAsia="標楷體"/>
          <w:sz w:val="28"/>
        </w:rPr>
        <w:t>3.72</w:t>
      </w:r>
      <w:r w:rsidRPr="00AE0D77">
        <w:rPr>
          <w:rFonts w:eastAsia="標楷體"/>
          <w:sz w:val="28"/>
        </w:rPr>
        <w:t>美元，較上月</w:t>
      </w:r>
      <w:r w:rsidR="00EC287C" w:rsidRPr="00AE0D77">
        <w:rPr>
          <w:rFonts w:eastAsia="標楷體"/>
          <w:sz w:val="28"/>
        </w:rPr>
        <w:t>上漲</w:t>
      </w:r>
      <w:r w:rsidR="00EB209E" w:rsidRPr="00AE0D77">
        <w:rPr>
          <w:rFonts w:eastAsia="標楷體"/>
          <w:sz w:val="28"/>
        </w:rPr>
        <w:t>3.9</w:t>
      </w:r>
      <w:r w:rsidRPr="00AE0D77">
        <w:rPr>
          <w:rFonts w:eastAsia="標楷體"/>
          <w:sz w:val="28"/>
        </w:rPr>
        <w:t>%</w:t>
      </w:r>
      <w:r w:rsidRPr="00AE0D77">
        <w:rPr>
          <w:rFonts w:eastAsia="標楷體"/>
          <w:sz w:val="28"/>
        </w:rPr>
        <w:t>，較上年同月</w:t>
      </w:r>
      <w:r w:rsidR="00EB209E" w:rsidRPr="00AE0D77">
        <w:rPr>
          <w:rFonts w:eastAsia="標楷體"/>
          <w:sz w:val="28"/>
        </w:rPr>
        <w:t>下跌</w:t>
      </w:r>
      <w:r w:rsidR="00EB209E" w:rsidRPr="00AE0D77">
        <w:rPr>
          <w:rFonts w:eastAsia="標楷體"/>
          <w:sz w:val="28"/>
        </w:rPr>
        <w:t>8</w:t>
      </w:r>
      <w:r w:rsidRPr="00AE0D77">
        <w:rPr>
          <w:rFonts w:eastAsia="標楷體"/>
          <w:sz w:val="28"/>
        </w:rPr>
        <w:t>.1%</w:t>
      </w:r>
      <w:r w:rsidRPr="00AE0D77">
        <w:rPr>
          <w:rFonts w:eastAsia="標楷體"/>
          <w:sz w:val="28"/>
        </w:rPr>
        <w:t>。</w:t>
      </w:r>
    </w:p>
    <w:p w:rsidR="00423E42" w:rsidRPr="00AE0D77" w:rsidRDefault="00423E42" w:rsidP="00423E42">
      <w:pPr>
        <w:snapToGrid w:val="0"/>
        <w:spacing w:before="50" w:line="300" w:lineRule="auto"/>
        <w:ind w:left="283" w:rightChars="18" w:right="43" w:hangingChars="101" w:hanging="283"/>
        <w:jc w:val="both"/>
        <w:rPr>
          <w:rFonts w:eastAsia="標楷體"/>
          <w:sz w:val="28"/>
        </w:rPr>
      </w:pPr>
    </w:p>
    <w:p w:rsidR="00423E42" w:rsidRPr="00AE0D77" w:rsidRDefault="00423E42" w:rsidP="00423E42">
      <w:pPr>
        <w:snapToGrid w:val="0"/>
        <w:spacing w:before="240" w:line="300" w:lineRule="auto"/>
        <w:ind w:rightChars="-59" w:right="-142"/>
        <w:jc w:val="center"/>
        <w:rPr>
          <w:rFonts w:eastAsia="標楷體"/>
          <w:b/>
          <w:bCs/>
          <w:sz w:val="28"/>
        </w:rPr>
      </w:pPr>
      <w:r w:rsidRPr="00AE0D77">
        <w:rPr>
          <w:rFonts w:eastAsia="標楷體"/>
          <w:b/>
          <w:bCs/>
          <w:sz w:val="28"/>
        </w:rPr>
        <w:t>表</w:t>
      </w:r>
      <w:r w:rsidRPr="00AE0D77">
        <w:rPr>
          <w:rFonts w:eastAsia="標楷體"/>
          <w:b/>
          <w:bCs/>
          <w:sz w:val="28"/>
        </w:rPr>
        <w:t xml:space="preserve"> 2-7-4   </w:t>
      </w:r>
      <w:r w:rsidRPr="00AE0D77">
        <w:rPr>
          <w:rFonts w:eastAsia="標楷體"/>
          <w:b/>
          <w:bCs/>
          <w:sz w:val="28"/>
        </w:rPr>
        <w:t>近年國際主要大宗物資價格變動</w:t>
      </w:r>
    </w:p>
    <w:p w:rsidR="00423E42" w:rsidRPr="00AE0D77" w:rsidRDefault="006D027A" w:rsidP="00423E42">
      <w:pPr>
        <w:snapToGrid w:val="0"/>
        <w:spacing w:before="120" w:line="300" w:lineRule="auto"/>
        <w:ind w:rightChars="-59" w:right="-142"/>
        <w:rPr>
          <w:rFonts w:eastAsia="標楷體"/>
          <w:sz w:val="22"/>
          <w:szCs w:val="22"/>
        </w:rPr>
      </w:pPr>
      <w:r w:rsidRPr="00AE0D77">
        <w:rPr>
          <w:rFonts w:eastAsia="標楷體"/>
          <w:noProof/>
        </w:rPr>
        <w:drawing>
          <wp:anchor distT="0" distB="0" distL="114300" distR="114300" simplePos="0" relativeHeight="252449280" behindDoc="0" locked="0" layoutInCell="1" allowOverlap="1" wp14:anchorId="1EC7D54C" wp14:editId="734E7D07">
            <wp:simplePos x="0" y="0"/>
            <wp:positionH relativeFrom="column">
              <wp:posOffset>-177165</wp:posOffset>
            </wp:positionH>
            <wp:positionV relativeFrom="paragraph">
              <wp:posOffset>226060</wp:posOffset>
            </wp:positionV>
            <wp:extent cx="6162675" cy="3524250"/>
            <wp:effectExtent l="0" t="0" r="952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23E42" w:rsidRPr="00AE0D77">
        <w:rPr>
          <w:rFonts w:eastAsia="標楷體"/>
          <w:noProof/>
        </w:rPr>
        <mc:AlternateContent>
          <mc:Choice Requires="wps">
            <w:drawing>
              <wp:anchor distT="0" distB="0" distL="114300" distR="114300" simplePos="0" relativeHeight="252442112" behindDoc="0" locked="0" layoutInCell="1" allowOverlap="1" wp14:anchorId="251F6D21" wp14:editId="41AA60EE">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6D5A67" w:rsidRDefault="006D5A67" w:rsidP="00423E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44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6D5A67" w:rsidRDefault="006D5A67" w:rsidP="00423E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D37B4" w:rsidRPr="00AE0D77" w:rsidRDefault="00AD37B4" w:rsidP="00AD37B4">
      <w:pPr>
        <w:pStyle w:val="k3a"/>
        <w:tabs>
          <w:tab w:val="left" w:pos="540"/>
        </w:tabs>
        <w:spacing w:before="180" w:line="300" w:lineRule="auto"/>
        <w:ind w:leftChars="0" w:left="0" w:right="0" w:firstLineChars="0" w:firstLine="0"/>
        <w:rPr>
          <w:sz w:val="22"/>
          <w:szCs w:val="22"/>
        </w:rPr>
      </w:pPr>
    </w:p>
    <w:p w:rsidR="0050265C" w:rsidRPr="00AE0D77" w:rsidRDefault="0050265C" w:rsidP="0050265C">
      <w:pPr>
        <w:widowControl/>
        <w:rPr>
          <w:rFonts w:eastAsia="標楷體"/>
          <w:b/>
          <w:bCs/>
          <w:kern w:val="0"/>
          <w:sz w:val="28"/>
          <w:szCs w:val="20"/>
        </w:rPr>
      </w:pPr>
      <w:r w:rsidRPr="00AE0D77">
        <w:rPr>
          <w:rFonts w:eastAsia="標楷體"/>
          <w:b/>
          <w:bCs/>
        </w:rPr>
        <w:br w:type="page"/>
      </w:r>
    </w:p>
    <w:p w:rsidR="00DD297D" w:rsidRPr="00AE0D77" w:rsidRDefault="00DD297D" w:rsidP="00DD297D">
      <w:pPr>
        <w:pStyle w:val="t-3"/>
        <w:snapToGrid w:val="0"/>
        <w:spacing w:beforeLines="50" w:before="180" w:line="300" w:lineRule="auto"/>
        <w:ind w:right="-60"/>
      </w:pPr>
      <w:bookmarkStart w:id="124" w:name="_Toc401923801"/>
      <w:bookmarkStart w:id="125" w:name="_Toc402171718"/>
      <w:bookmarkStart w:id="126" w:name="_Toc486347636"/>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AE0D77">
        <w:t>（八）金融</w:t>
      </w:r>
      <w:bookmarkEnd w:id="124"/>
      <w:bookmarkEnd w:id="125"/>
      <w:bookmarkEnd w:id="126"/>
    </w:p>
    <w:p w:rsidR="00996C64" w:rsidRPr="00AE0D77" w:rsidRDefault="00444437" w:rsidP="00BA5CF7">
      <w:pPr>
        <w:pStyle w:val="t-4"/>
        <w:tabs>
          <w:tab w:val="clear" w:pos="540"/>
          <w:tab w:val="left" w:pos="709"/>
        </w:tabs>
        <w:snapToGrid w:val="0"/>
        <w:spacing w:beforeLines="50" w:before="180" w:afterLines="0" w:after="0" w:line="300" w:lineRule="auto"/>
        <w:ind w:leftChars="0" w:left="420" w:rightChars="-61" w:right="-146" w:hangingChars="150" w:hanging="420"/>
        <w:jc w:val="both"/>
        <w:rPr>
          <w:color w:val="auto"/>
          <w:spacing w:val="-8"/>
        </w:rPr>
      </w:pPr>
      <w:bookmarkStart w:id="134" w:name="_（九）就業"/>
      <w:bookmarkStart w:id="135" w:name="_Toc401923802"/>
      <w:bookmarkStart w:id="136" w:name="_Toc402171719"/>
      <w:bookmarkEnd w:id="134"/>
      <w:r w:rsidRPr="00AE0D77">
        <w:rPr>
          <w:noProof/>
          <w:color w:val="auto"/>
        </w:rPr>
        <w:drawing>
          <wp:anchor distT="0" distB="0" distL="114300" distR="114300" simplePos="0" relativeHeight="252453376" behindDoc="0" locked="0" layoutInCell="1" allowOverlap="1" wp14:anchorId="4055716A" wp14:editId="28ECB904">
            <wp:simplePos x="0" y="0"/>
            <wp:positionH relativeFrom="column">
              <wp:posOffset>2699385</wp:posOffset>
            </wp:positionH>
            <wp:positionV relativeFrom="paragraph">
              <wp:posOffset>-161290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996C64" w:rsidRPr="00AE0D77">
        <w:rPr>
          <w:color w:val="auto"/>
          <w:spacing w:val="-8"/>
        </w:rPr>
        <w:t>１、</w:t>
      </w:r>
      <w:r w:rsidR="00996C64" w:rsidRPr="00AE0D77">
        <w:rPr>
          <w:color w:val="auto"/>
          <w:spacing w:val="-8"/>
        </w:rPr>
        <w:t>10</w:t>
      </w:r>
      <w:r w:rsidRPr="00AE0D77">
        <w:rPr>
          <w:color w:val="auto"/>
          <w:spacing w:val="-8"/>
        </w:rPr>
        <w:t>6</w:t>
      </w:r>
      <w:r w:rsidR="00996C64" w:rsidRPr="00AE0D77">
        <w:rPr>
          <w:color w:val="auto"/>
          <w:spacing w:val="-8"/>
        </w:rPr>
        <w:t>年</w:t>
      </w:r>
      <w:r w:rsidR="00996C64" w:rsidRPr="00AE0D77">
        <w:rPr>
          <w:color w:val="auto"/>
          <w:spacing w:val="-8"/>
        </w:rPr>
        <w:t>5</w:t>
      </w:r>
      <w:r w:rsidR="00996C64" w:rsidRPr="00AE0D77">
        <w:rPr>
          <w:color w:val="auto"/>
          <w:spacing w:val="-8"/>
        </w:rPr>
        <w:t>月</w:t>
      </w:r>
      <w:r w:rsidR="00996C64" w:rsidRPr="00AE0D77">
        <w:rPr>
          <w:color w:val="auto"/>
          <w:spacing w:val="-8"/>
        </w:rPr>
        <w:t>M1B</w:t>
      </w:r>
      <w:r w:rsidR="00996C64" w:rsidRPr="00AE0D77">
        <w:rPr>
          <w:color w:val="auto"/>
          <w:spacing w:val="-8"/>
        </w:rPr>
        <w:t>年增率</w:t>
      </w:r>
      <w:r w:rsidRPr="00AE0D77">
        <w:rPr>
          <w:color w:val="auto"/>
          <w:spacing w:val="-8"/>
        </w:rPr>
        <w:t>較上月下降</w:t>
      </w:r>
      <w:r w:rsidR="00996C64" w:rsidRPr="00AE0D77">
        <w:rPr>
          <w:color w:val="auto"/>
          <w:spacing w:val="-8"/>
        </w:rPr>
        <w:t>，</w:t>
      </w:r>
      <w:r w:rsidR="003639A3" w:rsidRPr="00AE0D77">
        <w:rPr>
          <w:color w:val="auto"/>
          <w:spacing w:val="-8"/>
        </w:rPr>
        <w:t>M2</w:t>
      </w:r>
      <w:r w:rsidRPr="00AE0D77">
        <w:rPr>
          <w:color w:val="auto"/>
          <w:spacing w:val="-8"/>
        </w:rPr>
        <w:t>年增率則高</w:t>
      </w:r>
      <w:r w:rsidR="00996C64" w:rsidRPr="00AE0D77">
        <w:rPr>
          <w:color w:val="auto"/>
          <w:spacing w:val="-8"/>
        </w:rPr>
        <w:t>於上月</w:t>
      </w:r>
    </w:p>
    <w:p w:rsidR="00996C64" w:rsidRPr="00AE0D77" w:rsidRDefault="00996C64" w:rsidP="00996C64">
      <w:pPr>
        <w:pStyle w:val="k32"/>
        <w:topLinePunct/>
        <w:spacing w:beforeLines="0" w:before="0"/>
        <w:ind w:leftChars="118" w:left="283" w:rightChars="10" w:right="24" w:firstLineChars="202" w:firstLine="566"/>
      </w:pPr>
      <w:r w:rsidRPr="00AE0D77">
        <w:t>10</w:t>
      </w:r>
      <w:r w:rsidR="007233B9" w:rsidRPr="00AE0D77">
        <w:t>6</w:t>
      </w:r>
      <w:r w:rsidRPr="00AE0D77">
        <w:t>年</w:t>
      </w:r>
      <w:r w:rsidRPr="00AE0D77">
        <w:t>5</w:t>
      </w:r>
      <w:r w:rsidRPr="00AE0D77">
        <w:t>月</w:t>
      </w:r>
      <w:r w:rsidRPr="00AE0D77">
        <w:t>M1A</w:t>
      </w:r>
      <w:r w:rsidR="00D947A2" w:rsidRPr="00AE0D77">
        <w:t>及</w:t>
      </w:r>
      <w:r w:rsidR="00D947A2" w:rsidRPr="00AE0D77">
        <w:t>M1B</w:t>
      </w:r>
      <w:r w:rsidR="007233B9" w:rsidRPr="00AE0D77">
        <w:t>年增率</w:t>
      </w:r>
      <w:r w:rsidR="00D947A2" w:rsidRPr="00AE0D77">
        <w:t>分別</w:t>
      </w:r>
      <w:r w:rsidR="00AD5E04" w:rsidRPr="00AE0D77">
        <w:t>下降至</w:t>
      </w:r>
      <w:r w:rsidR="00AD5E04" w:rsidRPr="00AE0D77">
        <w:t>2.01%</w:t>
      </w:r>
      <w:r w:rsidR="00D947A2" w:rsidRPr="00AE0D77">
        <w:t>及</w:t>
      </w:r>
      <w:r w:rsidR="00444437" w:rsidRPr="00AE0D77">
        <w:t>3.94%</w:t>
      </w:r>
      <w:r w:rsidR="00444437" w:rsidRPr="00AE0D77">
        <w:t>，主</w:t>
      </w:r>
      <w:r w:rsidR="0085432C" w:rsidRPr="00AE0D77">
        <w:t>係</w:t>
      </w:r>
      <w:r w:rsidR="00444437" w:rsidRPr="00AE0D77">
        <w:t>活期存款成長減緩所致；</w:t>
      </w:r>
      <w:r w:rsidR="00444437" w:rsidRPr="00AE0D77">
        <w:t>M2</w:t>
      </w:r>
      <w:r w:rsidR="00AD5E04" w:rsidRPr="00AE0D77">
        <w:t>年增率則上升至</w:t>
      </w:r>
      <w:r w:rsidR="00444437" w:rsidRPr="00AE0D77">
        <w:t>4.07%</w:t>
      </w:r>
      <w:r w:rsidR="00444437" w:rsidRPr="00AE0D77">
        <w:t>，主要受外資持續淨匯入之影響。</w:t>
      </w:r>
    </w:p>
    <w:p w:rsidR="00996C64" w:rsidRPr="00AE0D77" w:rsidRDefault="00996C64" w:rsidP="00996C64">
      <w:pPr>
        <w:snapToGrid w:val="0"/>
        <w:spacing w:line="300" w:lineRule="auto"/>
        <w:jc w:val="center"/>
        <w:rPr>
          <w:rFonts w:eastAsia="標楷體"/>
          <w:b/>
          <w:bCs/>
          <w:sz w:val="28"/>
        </w:rPr>
      </w:pPr>
      <w:r w:rsidRPr="00AE0D77">
        <w:rPr>
          <w:rFonts w:eastAsia="標楷體"/>
          <w:b/>
          <w:bCs/>
          <w:sz w:val="28"/>
        </w:rPr>
        <w:t xml:space="preserve">          </w:t>
      </w:r>
    </w:p>
    <w:p w:rsidR="003D6E96" w:rsidRPr="00AE0D77" w:rsidRDefault="00996C64" w:rsidP="003D6E96">
      <w:pPr>
        <w:snapToGrid w:val="0"/>
        <w:spacing w:line="300" w:lineRule="auto"/>
        <w:jc w:val="right"/>
        <w:rPr>
          <w:rFonts w:eastAsia="標楷體"/>
          <w:b/>
          <w:bCs/>
          <w:sz w:val="28"/>
        </w:rPr>
      </w:pPr>
      <w:r w:rsidRPr="00AE0D77">
        <w:rPr>
          <w:rFonts w:eastAsia="標楷體"/>
          <w:b/>
          <w:bCs/>
          <w:sz w:val="28"/>
        </w:rPr>
        <w:t xml:space="preserve"> </w:t>
      </w:r>
      <w:r w:rsidR="003D6E96" w:rsidRPr="00AE0D77">
        <w:rPr>
          <w:rFonts w:eastAsia="標楷體"/>
          <w:b/>
          <w:bCs/>
          <w:sz w:val="28"/>
        </w:rPr>
        <w:t xml:space="preserve"> </w:t>
      </w:r>
    </w:p>
    <w:p w:rsidR="00996C64" w:rsidRPr="00AE0D77" w:rsidRDefault="00996C64" w:rsidP="003D6E96">
      <w:pPr>
        <w:snapToGrid w:val="0"/>
        <w:spacing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2-8-1  </w:t>
      </w:r>
      <w:r w:rsidRPr="00AE0D77">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996C64" w:rsidRPr="00AE0D77" w:rsidTr="0099145A">
        <w:trPr>
          <w:trHeight w:val="621"/>
          <w:jc w:val="center"/>
        </w:trPr>
        <w:tc>
          <w:tcPr>
            <w:tcW w:w="1638" w:type="dxa"/>
            <w:tcBorders>
              <w:left w:val="nil"/>
              <w:bottom w:val="single" w:sz="4" w:space="0" w:color="auto"/>
            </w:tcBorders>
            <w:vAlign w:val="center"/>
          </w:tcPr>
          <w:p w:rsidR="00996C64" w:rsidRPr="00AE0D77" w:rsidRDefault="00996C64" w:rsidP="0099145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360" w:type="dxa"/>
            <w:tcBorders>
              <w:left w:val="nil"/>
              <w:bottom w:val="single" w:sz="4" w:space="0" w:color="auto"/>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M2</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513" w:type="dxa"/>
            <w:tcBorders>
              <w:bottom w:val="single" w:sz="4" w:space="0" w:color="auto"/>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M1A</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500" w:type="dxa"/>
            <w:tcBorders>
              <w:bottom w:val="single" w:sz="4" w:space="0" w:color="auto"/>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M1B</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416" w:type="dxa"/>
            <w:tcBorders>
              <w:bottom w:val="single" w:sz="4" w:space="0" w:color="auto"/>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新臺幣兌美元</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平均匯率</w:t>
            </w:r>
          </w:p>
        </w:tc>
        <w:tc>
          <w:tcPr>
            <w:tcW w:w="1336" w:type="dxa"/>
            <w:tcBorders>
              <w:bottom w:val="single" w:sz="4" w:space="0" w:color="auto"/>
              <w:right w:val="nil"/>
            </w:tcBorders>
            <w:vAlign w:val="center"/>
          </w:tcPr>
          <w:p w:rsidR="00996C64" w:rsidRPr="00AE0D77" w:rsidRDefault="00996C64" w:rsidP="0099145A">
            <w:pPr>
              <w:snapToGrid w:val="0"/>
              <w:spacing w:line="240" w:lineRule="atLeast"/>
              <w:jc w:val="center"/>
              <w:rPr>
                <w:rFonts w:eastAsia="標楷體"/>
                <w:spacing w:val="-20"/>
              </w:rPr>
            </w:pPr>
            <w:r w:rsidRPr="00AE0D77">
              <w:rPr>
                <w:rFonts w:eastAsia="標楷體"/>
                <w:spacing w:val="-20"/>
              </w:rPr>
              <w:t>金融業隔夜</w:t>
            </w:r>
          </w:p>
          <w:p w:rsidR="00996C64" w:rsidRPr="00AE0D77" w:rsidRDefault="00996C64" w:rsidP="0099145A">
            <w:pPr>
              <w:snapToGrid w:val="0"/>
              <w:spacing w:line="240" w:lineRule="atLeast"/>
              <w:jc w:val="center"/>
              <w:rPr>
                <w:rFonts w:eastAsia="標楷體"/>
                <w:spacing w:val="-20"/>
              </w:rPr>
            </w:pPr>
            <w:r w:rsidRPr="00AE0D77">
              <w:rPr>
                <w:rFonts w:eastAsia="標楷體"/>
                <w:spacing w:val="-20"/>
              </w:rPr>
              <w:t>拆款利率</w:t>
            </w:r>
            <w:r w:rsidRPr="00AE0D77">
              <w:rPr>
                <w:rFonts w:eastAsia="標楷體"/>
                <w:spacing w:val="-20"/>
              </w:rPr>
              <w:t>(%)</w:t>
            </w:r>
          </w:p>
        </w:tc>
      </w:tr>
      <w:tr w:rsidR="00A2166A" w:rsidRPr="00AE0D77" w:rsidTr="0074591B">
        <w:trPr>
          <w:trHeight w:val="80"/>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6"/>
              <w:jc w:val="both"/>
              <w:rPr>
                <w:rFonts w:eastAsia="標楷體"/>
              </w:rPr>
            </w:pPr>
            <w:r w:rsidRPr="00AE0D77">
              <w:rPr>
                <w:rFonts w:eastAsia="標楷體"/>
                <w:b/>
                <w:bCs/>
              </w:rPr>
              <w:t xml:space="preserve">  101</w:t>
            </w:r>
            <w:r w:rsidRPr="00AE0D77">
              <w:rPr>
                <w:rFonts w:eastAsia="標楷體"/>
                <w:b/>
                <w:bCs/>
              </w:rPr>
              <w:t>年</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4.17</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3.55</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3.45</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29.614</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0.424</w:t>
            </w:r>
          </w:p>
        </w:tc>
      </w:tr>
      <w:tr w:rsidR="00A2166A" w:rsidRPr="00AE0D77" w:rsidTr="0074591B">
        <w:trPr>
          <w:trHeight w:val="307"/>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2" w:firstLineChars="100" w:firstLine="240"/>
              <w:rPr>
                <w:rFonts w:eastAsia="標楷體"/>
                <w:b/>
              </w:rPr>
            </w:pPr>
            <w:r w:rsidRPr="00AE0D77">
              <w:rPr>
                <w:rFonts w:eastAsia="標楷體"/>
                <w:b/>
              </w:rPr>
              <w:t>102</w:t>
            </w:r>
            <w:r w:rsidRPr="00AE0D77">
              <w:rPr>
                <w:rFonts w:eastAsia="標楷體"/>
                <w:b/>
              </w:rPr>
              <w:t>年</w:t>
            </w:r>
          </w:p>
        </w:tc>
        <w:tc>
          <w:tcPr>
            <w:tcW w:w="1360" w:type="dxa"/>
            <w:tcBorders>
              <w:top w:val="nil"/>
              <w:left w:val="single" w:sz="4" w:space="0" w:color="auto"/>
              <w:bottom w:val="nil"/>
              <w:right w:val="nil"/>
            </w:tcBorders>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4.78</w:t>
            </w:r>
          </w:p>
        </w:tc>
        <w:tc>
          <w:tcPr>
            <w:tcW w:w="1513" w:type="dxa"/>
            <w:tcBorders>
              <w:top w:val="nil"/>
              <w:left w:val="nil"/>
              <w:bottom w:val="nil"/>
              <w:right w:val="nil"/>
            </w:tcBorders>
          </w:tcPr>
          <w:p w:rsidR="00A2166A" w:rsidRPr="00AE0D77" w:rsidRDefault="00A2166A" w:rsidP="0074591B">
            <w:pPr>
              <w:snapToGrid w:val="0"/>
              <w:spacing w:line="340" w:lineRule="atLeast"/>
              <w:ind w:rightChars="213" w:right="511"/>
              <w:jc w:val="right"/>
              <w:rPr>
                <w:rFonts w:eastAsia="標楷體"/>
                <w:b/>
                <w:bCs/>
              </w:rPr>
            </w:pPr>
            <w:r w:rsidRPr="00AE0D77">
              <w:rPr>
                <w:rFonts w:eastAsia="標楷體"/>
                <w:b/>
                <w:bCs/>
              </w:rPr>
              <w:t>9.15</w:t>
            </w:r>
          </w:p>
        </w:tc>
        <w:tc>
          <w:tcPr>
            <w:tcW w:w="1500" w:type="dxa"/>
            <w:tcBorders>
              <w:top w:val="nil"/>
              <w:left w:val="nil"/>
              <w:bottom w:val="nil"/>
              <w:right w:val="nil"/>
            </w:tcBorders>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7.27</w:t>
            </w:r>
          </w:p>
        </w:tc>
        <w:tc>
          <w:tcPr>
            <w:tcW w:w="1416" w:type="dxa"/>
            <w:tcBorders>
              <w:top w:val="nil"/>
              <w:left w:val="nil"/>
              <w:bottom w:val="nil"/>
              <w:right w:val="nil"/>
            </w:tcBorders>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29.770</w:t>
            </w:r>
          </w:p>
        </w:tc>
        <w:tc>
          <w:tcPr>
            <w:tcW w:w="1336" w:type="dxa"/>
            <w:tcBorders>
              <w:top w:val="nil"/>
              <w:left w:val="nil"/>
              <w:bottom w:val="nil"/>
              <w:right w:val="nil"/>
            </w:tcBorders>
          </w:tcPr>
          <w:p w:rsidR="00A2166A" w:rsidRPr="00AE0D77" w:rsidRDefault="00A2166A" w:rsidP="0074591B">
            <w:pPr>
              <w:snapToGrid w:val="0"/>
              <w:spacing w:line="340" w:lineRule="atLeast"/>
              <w:ind w:rightChars="154" w:right="370"/>
              <w:jc w:val="right"/>
              <w:rPr>
                <w:rFonts w:eastAsia="標楷體"/>
                <w:b/>
                <w:bCs/>
              </w:rPr>
            </w:pPr>
            <w:r w:rsidRPr="00AE0D77">
              <w:rPr>
                <w:rFonts w:eastAsia="標楷體"/>
                <w:b/>
                <w:bCs/>
              </w:rPr>
              <w:t>0.386</w:t>
            </w:r>
          </w:p>
        </w:tc>
      </w:tr>
      <w:tr w:rsidR="00A2166A" w:rsidRPr="00AE0D77" w:rsidTr="0074591B">
        <w:trPr>
          <w:trHeight w:val="307"/>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2" w:firstLineChars="100" w:firstLine="240"/>
              <w:rPr>
                <w:rFonts w:eastAsia="標楷體"/>
              </w:rPr>
            </w:pPr>
            <w:r w:rsidRPr="00AE0D77">
              <w:rPr>
                <w:rFonts w:eastAsia="標楷體"/>
                <w:b/>
                <w:bCs/>
              </w:rPr>
              <w:t>103</w:t>
            </w:r>
            <w:r w:rsidRPr="00AE0D77">
              <w:rPr>
                <w:rFonts w:eastAsia="標楷體"/>
                <w:b/>
                <w:bCs/>
              </w:rPr>
              <w:t>年</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5.66</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9.27</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7.96</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30.368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0.387</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2" w:firstLineChars="100" w:firstLine="240"/>
              <w:rPr>
                <w:rFonts w:eastAsia="標楷體"/>
              </w:rPr>
            </w:pPr>
            <w:r w:rsidRPr="00AE0D77">
              <w:rPr>
                <w:rFonts w:eastAsia="標楷體"/>
                <w:b/>
                <w:bCs/>
              </w:rPr>
              <w:t>104</w:t>
            </w:r>
            <w:r w:rsidRPr="00AE0D77">
              <w:rPr>
                <w:rFonts w:eastAsia="標楷體"/>
                <w:b/>
                <w:bCs/>
              </w:rPr>
              <w:t>年</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6.34</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6.53</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6.09</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31.898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0.356</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74591B">
            <w:pPr>
              <w:snapToGrid w:val="0"/>
              <w:spacing w:line="340" w:lineRule="atLeast"/>
              <w:ind w:right="62" w:firstLineChars="100" w:firstLine="240"/>
              <w:rPr>
                <w:rFonts w:eastAsia="標楷體"/>
              </w:rPr>
            </w:pPr>
            <w:r w:rsidRPr="00AE0D77">
              <w:rPr>
                <w:rFonts w:eastAsia="標楷體"/>
                <w:b/>
                <w:bCs/>
              </w:rPr>
              <w:t>105</w:t>
            </w:r>
            <w:r w:rsidRPr="00AE0D77">
              <w:rPr>
                <w:rFonts w:eastAsia="標楷體"/>
                <w:b/>
                <w:bCs/>
              </w:rPr>
              <w:t>年</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4.51</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7.13</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b/>
                <w:bCs/>
              </w:rPr>
            </w:pPr>
            <w:r w:rsidRPr="00AE0D77">
              <w:rPr>
                <w:rFonts w:eastAsia="標楷體"/>
                <w:b/>
                <w:bCs/>
              </w:rPr>
              <w:t>6.33</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b/>
                <w:bCs/>
              </w:rPr>
            </w:pPr>
            <w:r w:rsidRPr="00AE0D77">
              <w:rPr>
                <w:rFonts w:eastAsia="標楷體"/>
                <w:b/>
                <w:bCs/>
              </w:rPr>
              <w:t>32.318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0.193</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5</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4.14</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8.93</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6.30</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32.573</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0.201</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6</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4.42</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7.77</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6.23</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32.400</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0.201</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7</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4.70</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7.05</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6.24</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32.124</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8</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4.51</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6.21</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6.48</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31.577</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9</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4.05</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6.24</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6.36</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31.483</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0.184</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10</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3.98</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6.46</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6.35</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31.571</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11</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3.96</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6.88</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6.56</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31.758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0.183</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wordWrap w:val="0"/>
              <w:snapToGrid w:val="0"/>
              <w:spacing w:line="340" w:lineRule="atLeast"/>
              <w:ind w:right="284"/>
              <w:jc w:val="right"/>
              <w:rPr>
                <w:rFonts w:eastAsia="標楷體"/>
              </w:rPr>
            </w:pPr>
            <w:r w:rsidRPr="00AE0D77">
              <w:rPr>
                <w:rFonts w:eastAsia="標楷體"/>
              </w:rPr>
              <w:t>12</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4.11</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4.94</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6.01</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32.012</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0.174</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snapToGrid w:val="0"/>
              <w:spacing w:line="340" w:lineRule="atLeast"/>
              <w:ind w:right="62"/>
              <w:rPr>
                <w:rFonts w:eastAsia="標楷體"/>
              </w:rPr>
            </w:pPr>
            <w:r w:rsidRPr="00AE0D77">
              <w:rPr>
                <w:rFonts w:eastAsia="標楷體"/>
                <w:b/>
                <w:bCs/>
              </w:rPr>
              <w:t>106</w:t>
            </w:r>
            <w:r w:rsidRPr="00AE0D77">
              <w:rPr>
                <w:rFonts w:eastAsia="標楷體"/>
                <w:b/>
                <w:bCs/>
              </w:rPr>
              <w:t>年</w:t>
            </w:r>
            <w:r w:rsidRPr="00AE0D77">
              <w:rPr>
                <w:rFonts w:eastAsia="標楷體"/>
                <w:b/>
                <w:bCs/>
              </w:rPr>
              <w:t>1~5</w:t>
            </w:r>
            <w:r w:rsidRPr="00AE0D77">
              <w:rPr>
                <w:rFonts w:eastAsia="標楷體"/>
                <w:b/>
                <w:bCs/>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3.</w:t>
            </w:r>
            <w:r w:rsidR="00AD5E04" w:rsidRPr="00AE0D77">
              <w:rPr>
                <w:rFonts w:eastAsia="標楷體"/>
                <w:b/>
                <w:bCs/>
                <w:spacing w:val="4"/>
                <w:kern w:val="0"/>
                <w:szCs w:val="27"/>
              </w:rPr>
              <w:t>72</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b/>
                <w:spacing w:val="4"/>
                <w:kern w:val="0"/>
                <w:szCs w:val="27"/>
              </w:rPr>
            </w:pPr>
            <w:r w:rsidRPr="00AE0D77">
              <w:rPr>
                <w:rFonts w:eastAsia="標楷體"/>
                <w:b/>
                <w:spacing w:val="4"/>
                <w:kern w:val="0"/>
                <w:szCs w:val="27"/>
              </w:rPr>
              <w:t>3.</w:t>
            </w:r>
            <w:r w:rsidR="000E054D" w:rsidRPr="00AE0D77">
              <w:rPr>
                <w:rFonts w:eastAsia="標楷體"/>
                <w:b/>
                <w:spacing w:val="4"/>
                <w:kern w:val="0"/>
                <w:szCs w:val="27"/>
              </w:rPr>
              <w:t>07</w:t>
            </w:r>
          </w:p>
        </w:tc>
        <w:tc>
          <w:tcPr>
            <w:tcW w:w="1500" w:type="dxa"/>
            <w:tcBorders>
              <w:top w:val="nil"/>
              <w:left w:val="nil"/>
              <w:bottom w:val="nil"/>
              <w:right w:val="nil"/>
            </w:tcBorders>
            <w:vAlign w:val="center"/>
          </w:tcPr>
          <w:p w:rsidR="00A2166A" w:rsidRPr="00AE0D77" w:rsidRDefault="00AD5E04" w:rsidP="0074591B">
            <w:pPr>
              <w:snapToGrid w:val="0"/>
              <w:spacing w:line="340" w:lineRule="atLeast"/>
              <w:ind w:rightChars="189" w:right="454"/>
              <w:jc w:val="right"/>
              <w:rPr>
                <w:rFonts w:eastAsia="標楷體"/>
                <w:b/>
              </w:rPr>
            </w:pPr>
            <w:r w:rsidRPr="00AE0D77">
              <w:rPr>
                <w:rFonts w:eastAsia="標楷體"/>
                <w:b/>
              </w:rPr>
              <w:t>4.77</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b/>
              </w:rPr>
            </w:pPr>
            <w:r w:rsidRPr="00AE0D77">
              <w:rPr>
                <w:rFonts w:eastAsia="標楷體"/>
                <w:b/>
              </w:rPr>
              <w:t>30.</w:t>
            </w:r>
            <w:r w:rsidR="000E054D" w:rsidRPr="00AE0D77">
              <w:rPr>
                <w:rFonts w:eastAsia="標楷體"/>
                <w:b/>
              </w:rPr>
              <w:t>769</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b/>
                <w:spacing w:val="4"/>
                <w:kern w:val="0"/>
                <w:szCs w:val="27"/>
              </w:rPr>
            </w:pPr>
            <w:r w:rsidRPr="00AE0D77">
              <w:rPr>
                <w:rFonts w:eastAsia="標楷體"/>
                <w:b/>
                <w:spacing w:val="4"/>
                <w:kern w:val="0"/>
                <w:szCs w:val="27"/>
              </w:rPr>
              <w:t>0.175</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snapToGrid w:val="0"/>
              <w:spacing w:line="340" w:lineRule="atLeast"/>
              <w:ind w:right="284"/>
              <w:jc w:val="right"/>
              <w:rPr>
                <w:rFonts w:eastAsia="標楷體"/>
              </w:rPr>
            </w:pPr>
            <w:r w:rsidRPr="00AE0D77">
              <w:rPr>
                <w:rFonts w:eastAsia="標楷體"/>
              </w:rPr>
              <w:t>1</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3.72</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4.55</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6.05</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31.742</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0.173</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snapToGrid w:val="0"/>
              <w:spacing w:line="340" w:lineRule="atLeast"/>
              <w:ind w:right="284"/>
              <w:jc w:val="right"/>
              <w:rPr>
                <w:rFonts w:eastAsia="標楷體"/>
              </w:rPr>
            </w:pPr>
            <w:r w:rsidRPr="00AE0D77">
              <w:rPr>
                <w:rFonts w:eastAsia="標楷體"/>
              </w:rPr>
              <w:t>2</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3.56</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2.77</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5.07</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30.898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0.177</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snapToGrid w:val="0"/>
              <w:spacing w:line="340" w:lineRule="atLeast"/>
              <w:ind w:right="284"/>
              <w:jc w:val="right"/>
              <w:rPr>
                <w:rFonts w:eastAsia="標楷體"/>
              </w:rPr>
            </w:pPr>
            <w:r w:rsidRPr="00AE0D77">
              <w:rPr>
                <w:rFonts w:eastAsia="標楷體"/>
              </w:rPr>
              <w:t>3</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3.64</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2.84</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4.57</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30.658</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0.176</w:t>
            </w:r>
          </w:p>
        </w:tc>
      </w:tr>
      <w:tr w:rsidR="00A2166A" w:rsidRPr="00AE0D77" w:rsidTr="0099145A">
        <w:trPr>
          <w:trHeight w:val="307"/>
          <w:jc w:val="center"/>
        </w:trPr>
        <w:tc>
          <w:tcPr>
            <w:tcW w:w="1638" w:type="dxa"/>
            <w:tcBorders>
              <w:top w:val="nil"/>
              <w:left w:val="nil"/>
              <w:bottom w:val="nil"/>
              <w:right w:val="single" w:sz="4" w:space="0" w:color="auto"/>
            </w:tcBorders>
          </w:tcPr>
          <w:p w:rsidR="00A2166A" w:rsidRPr="00AE0D77" w:rsidRDefault="00A2166A" w:rsidP="0099145A">
            <w:pPr>
              <w:snapToGrid w:val="0"/>
              <w:spacing w:line="340" w:lineRule="atLeast"/>
              <w:ind w:right="284"/>
              <w:jc w:val="right"/>
              <w:rPr>
                <w:rFonts w:eastAsia="標楷體"/>
              </w:rPr>
            </w:pPr>
            <w:r w:rsidRPr="00AE0D77">
              <w:rPr>
                <w:rFonts w:eastAsia="標楷體"/>
              </w:rPr>
              <w:t>4</w:t>
            </w:r>
            <w:r w:rsidRPr="00AE0D77">
              <w:rPr>
                <w:rFonts w:eastAsia="標楷體"/>
              </w:rPr>
              <w:t>月</w:t>
            </w:r>
          </w:p>
        </w:tc>
        <w:tc>
          <w:tcPr>
            <w:tcW w:w="1360" w:type="dxa"/>
            <w:tcBorders>
              <w:top w:val="nil"/>
              <w:left w:val="single" w:sz="4" w:space="0" w:color="auto"/>
              <w:bottom w:val="nil"/>
              <w:right w:val="nil"/>
            </w:tcBorders>
            <w:vAlign w:val="center"/>
          </w:tcPr>
          <w:p w:rsidR="00A2166A" w:rsidRPr="00AE0D77" w:rsidRDefault="00A2166A" w:rsidP="0074591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3.63</w:t>
            </w:r>
          </w:p>
        </w:tc>
        <w:tc>
          <w:tcPr>
            <w:tcW w:w="1513" w:type="dxa"/>
            <w:tcBorders>
              <w:top w:val="nil"/>
              <w:left w:val="nil"/>
              <w:bottom w:val="nil"/>
              <w:right w:val="nil"/>
            </w:tcBorders>
            <w:vAlign w:val="center"/>
          </w:tcPr>
          <w:p w:rsidR="00A2166A" w:rsidRPr="00AE0D77" w:rsidRDefault="00A2166A" w:rsidP="0074591B">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3.20</w:t>
            </w:r>
          </w:p>
        </w:tc>
        <w:tc>
          <w:tcPr>
            <w:tcW w:w="1500" w:type="dxa"/>
            <w:tcBorders>
              <w:top w:val="nil"/>
              <w:left w:val="nil"/>
              <w:bottom w:val="nil"/>
              <w:right w:val="nil"/>
            </w:tcBorders>
            <w:vAlign w:val="center"/>
          </w:tcPr>
          <w:p w:rsidR="00A2166A" w:rsidRPr="00AE0D77" w:rsidRDefault="00A2166A" w:rsidP="0074591B">
            <w:pPr>
              <w:snapToGrid w:val="0"/>
              <w:spacing w:line="340" w:lineRule="atLeast"/>
              <w:ind w:rightChars="189" w:right="454"/>
              <w:jc w:val="right"/>
              <w:rPr>
                <w:rFonts w:eastAsia="標楷體"/>
              </w:rPr>
            </w:pPr>
            <w:r w:rsidRPr="00AE0D77">
              <w:rPr>
                <w:rFonts w:eastAsia="標楷體"/>
              </w:rPr>
              <w:t>4.21</w:t>
            </w:r>
          </w:p>
        </w:tc>
        <w:tc>
          <w:tcPr>
            <w:tcW w:w="1416" w:type="dxa"/>
            <w:tcBorders>
              <w:top w:val="nil"/>
              <w:left w:val="nil"/>
              <w:bottom w:val="nil"/>
              <w:right w:val="nil"/>
            </w:tcBorders>
            <w:vAlign w:val="center"/>
          </w:tcPr>
          <w:p w:rsidR="00A2166A" w:rsidRPr="00AE0D77" w:rsidRDefault="00A2166A" w:rsidP="0074591B">
            <w:pPr>
              <w:snapToGrid w:val="0"/>
              <w:spacing w:line="340" w:lineRule="atLeast"/>
              <w:ind w:rightChars="188" w:right="451"/>
              <w:jc w:val="right"/>
              <w:rPr>
                <w:rFonts w:eastAsia="標楷體"/>
              </w:rPr>
            </w:pPr>
            <w:r w:rsidRPr="00AE0D77">
              <w:rPr>
                <w:rFonts w:eastAsia="標楷體"/>
              </w:rPr>
              <w:t>30.390</w:t>
            </w:r>
          </w:p>
        </w:tc>
        <w:tc>
          <w:tcPr>
            <w:tcW w:w="1336" w:type="dxa"/>
            <w:tcBorders>
              <w:top w:val="nil"/>
              <w:left w:val="nil"/>
              <w:bottom w:val="nil"/>
              <w:right w:val="nil"/>
            </w:tcBorders>
            <w:vAlign w:val="center"/>
          </w:tcPr>
          <w:p w:rsidR="00A2166A" w:rsidRPr="00AE0D77" w:rsidRDefault="00A2166A" w:rsidP="0074591B">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0.175</w:t>
            </w:r>
          </w:p>
        </w:tc>
      </w:tr>
      <w:tr w:rsidR="00996C64" w:rsidRPr="00AE0D77" w:rsidTr="0099145A">
        <w:trPr>
          <w:trHeight w:val="307"/>
          <w:jc w:val="center"/>
        </w:trPr>
        <w:tc>
          <w:tcPr>
            <w:tcW w:w="1638" w:type="dxa"/>
            <w:tcBorders>
              <w:top w:val="nil"/>
              <w:left w:val="nil"/>
              <w:bottom w:val="single" w:sz="4" w:space="0" w:color="auto"/>
              <w:right w:val="single" w:sz="4" w:space="0" w:color="auto"/>
            </w:tcBorders>
          </w:tcPr>
          <w:p w:rsidR="00996C64" w:rsidRPr="00AE0D77" w:rsidRDefault="00996C64" w:rsidP="0099145A">
            <w:pPr>
              <w:snapToGrid w:val="0"/>
              <w:spacing w:line="340" w:lineRule="atLeast"/>
              <w:ind w:right="284"/>
              <w:jc w:val="right"/>
              <w:rPr>
                <w:rFonts w:eastAsia="標楷體"/>
              </w:rPr>
            </w:pPr>
            <w:r w:rsidRPr="00AE0D77">
              <w:rPr>
                <w:rFonts w:eastAsia="標楷體"/>
              </w:rPr>
              <w:t>5</w:t>
            </w:r>
            <w:r w:rsidRPr="00AE0D77">
              <w:rPr>
                <w:rFonts w:eastAsia="標楷體"/>
              </w:rPr>
              <w:t>月</w:t>
            </w:r>
          </w:p>
        </w:tc>
        <w:tc>
          <w:tcPr>
            <w:tcW w:w="1360" w:type="dxa"/>
            <w:tcBorders>
              <w:top w:val="nil"/>
              <w:left w:val="single" w:sz="4" w:space="0" w:color="auto"/>
              <w:bottom w:val="single" w:sz="4" w:space="0" w:color="auto"/>
              <w:right w:val="nil"/>
            </w:tcBorders>
            <w:vAlign w:val="center"/>
          </w:tcPr>
          <w:p w:rsidR="00996C64" w:rsidRPr="00AE0D77" w:rsidRDefault="00AD5E0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AE0D77">
              <w:rPr>
                <w:rFonts w:eastAsia="標楷體"/>
              </w:rPr>
              <w:t>4.07</w:t>
            </w:r>
          </w:p>
        </w:tc>
        <w:tc>
          <w:tcPr>
            <w:tcW w:w="1513" w:type="dxa"/>
            <w:tcBorders>
              <w:top w:val="nil"/>
              <w:left w:val="nil"/>
              <w:bottom w:val="single" w:sz="4" w:space="0" w:color="auto"/>
              <w:right w:val="nil"/>
            </w:tcBorders>
            <w:vAlign w:val="center"/>
          </w:tcPr>
          <w:p w:rsidR="00996C64" w:rsidRPr="00AE0D77" w:rsidRDefault="00AD5E04" w:rsidP="0099145A">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2.01</w:t>
            </w:r>
          </w:p>
        </w:tc>
        <w:tc>
          <w:tcPr>
            <w:tcW w:w="1500" w:type="dxa"/>
            <w:tcBorders>
              <w:top w:val="nil"/>
              <w:left w:val="nil"/>
              <w:bottom w:val="single" w:sz="4" w:space="0" w:color="auto"/>
              <w:right w:val="nil"/>
            </w:tcBorders>
            <w:vAlign w:val="center"/>
          </w:tcPr>
          <w:p w:rsidR="00996C64" w:rsidRPr="00AE0D77" w:rsidRDefault="00AD5E04" w:rsidP="0099145A">
            <w:pPr>
              <w:snapToGrid w:val="0"/>
              <w:spacing w:line="340" w:lineRule="atLeast"/>
              <w:ind w:rightChars="189" w:right="454"/>
              <w:jc w:val="right"/>
              <w:rPr>
                <w:rFonts w:eastAsia="標楷體"/>
              </w:rPr>
            </w:pPr>
            <w:r w:rsidRPr="00AE0D77">
              <w:rPr>
                <w:rFonts w:eastAsia="標楷體"/>
              </w:rPr>
              <w:t>3.94</w:t>
            </w:r>
          </w:p>
        </w:tc>
        <w:tc>
          <w:tcPr>
            <w:tcW w:w="1416" w:type="dxa"/>
            <w:tcBorders>
              <w:top w:val="nil"/>
              <w:left w:val="nil"/>
              <w:bottom w:val="single" w:sz="4" w:space="0" w:color="auto"/>
              <w:right w:val="nil"/>
            </w:tcBorders>
            <w:vAlign w:val="center"/>
          </w:tcPr>
          <w:p w:rsidR="00996C64" w:rsidRPr="00AE0D77" w:rsidRDefault="000E054D" w:rsidP="0099145A">
            <w:pPr>
              <w:snapToGrid w:val="0"/>
              <w:spacing w:line="340" w:lineRule="atLeast"/>
              <w:ind w:rightChars="188" w:right="451"/>
              <w:jc w:val="right"/>
              <w:rPr>
                <w:rFonts w:eastAsia="標楷體"/>
              </w:rPr>
            </w:pPr>
            <w:r w:rsidRPr="00AE0D77">
              <w:rPr>
                <w:rFonts w:eastAsia="標楷體"/>
              </w:rPr>
              <w:t>30.156</w:t>
            </w:r>
          </w:p>
        </w:tc>
        <w:tc>
          <w:tcPr>
            <w:tcW w:w="1336" w:type="dxa"/>
            <w:tcBorders>
              <w:top w:val="nil"/>
              <w:left w:val="nil"/>
              <w:bottom w:val="single" w:sz="4" w:space="0" w:color="auto"/>
              <w:right w:val="nil"/>
            </w:tcBorders>
            <w:vAlign w:val="center"/>
          </w:tcPr>
          <w:p w:rsidR="00996C64" w:rsidRPr="00AE0D77" w:rsidRDefault="00996C64" w:rsidP="0099145A">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w:t>
            </w:r>
            <w:r w:rsidR="00D947A2" w:rsidRPr="00AE0D77">
              <w:rPr>
                <w:rFonts w:eastAsia="標楷體"/>
                <w:spacing w:val="4"/>
                <w:kern w:val="0"/>
                <w:szCs w:val="27"/>
              </w:rPr>
              <w:t>172</w:t>
            </w:r>
          </w:p>
        </w:tc>
      </w:tr>
    </w:tbl>
    <w:p w:rsidR="00996C64" w:rsidRPr="00AE0D77" w:rsidRDefault="00996C64" w:rsidP="00996C64">
      <w:pPr>
        <w:spacing w:line="240" w:lineRule="atLeast"/>
        <w:ind w:left="425" w:hangingChars="193" w:hanging="425"/>
        <w:rPr>
          <w:rFonts w:eastAsia="標楷體"/>
          <w:kern w:val="0"/>
          <w:sz w:val="22"/>
          <w:szCs w:val="22"/>
        </w:rPr>
      </w:pPr>
      <w:r w:rsidRPr="00AE0D77">
        <w:rPr>
          <w:rFonts w:eastAsia="標楷體"/>
          <w:kern w:val="0"/>
          <w:sz w:val="22"/>
          <w:szCs w:val="22"/>
        </w:rPr>
        <w:t>註：</w:t>
      </w:r>
      <w:r w:rsidRPr="00AE0D77">
        <w:rPr>
          <w:rFonts w:eastAsia="標楷體"/>
          <w:kern w:val="0"/>
          <w:sz w:val="22"/>
          <w:szCs w:val="22"/>
        </w:rPr>
        <w:t>M1A</w:t>
      </w:r>
      <w:r w:rsidRPr="00AE0D77">
        <w:rPr>
          <w:rFonts w:eastAsia="標楷體"/>
          <w:kern w:val="0"/>
          <w:sz w:val="22"/>
          <w:szCs w:val="22"/>
        </w:rPr>
        <w:t>為通貨淨額加上企業及個人在貨幣機構的支票存款及活期存款；</w:t>
      </w:r>
      <w:r w:rsidRPr="00AE0D77">
        <w:rPr>
          <w:rFonts w:eastAsia="標楷體"/>
          <w:kern w:val="0"/>
          <w:sz w:val="22"/>
          <w:szCs w:val="22"/>
        </w:rPr>
        <w:t>M1B</w:t>
      </w:r>
      <w:r w:rsidRPr="00AE0D77">
        <w:rPr>
          <w:rFonts w:eastAsia="標楷體"/>
          <w:kern w:val="0"/>
          <w:sz w:val="22"/>
          <w:szCs w:val="22"/>
        </w:rPr>
        <w:t>為</w:t>
      </w:r>
      <w:r w:rsidRPr="00AE0D77">
        <w:rPr>
          <w:rFonts w:eastAsia="標楷體"/>
          <w:kern w:val="0"/>
          <w:sz w:val="22"/>
          <w:szCs w:val="22"/>
        </w:rPr>
        <w:t>M1A</w:t>
      </w:r>
      <w:r w:rsidRPr="00AE0D77">
        <w:rPr>
          <w:rFonts w:eastAsia="標楷體"/>
          <w:kern w:val="0"/>
          <w:sz w:val="22"/>
          <w:szCs w:val="22"/>
        </w:rPr>
        <w:t>加上個人活期儲蓄存款；</w:t>
      </w:r>
      <w:r w:rsidRPr="00AE0D77">
        <w:rPr>
          <w:rFonts w:eastAsia="標楷體"/>
          <w:kern w:val="0"/>
          <w:sz w:val="22"/>
          <w:szCs w:val="22"/>
        </w:rPr>
        <w:t>M2</w:t>
      </w:r>
      <w:r w:rsidRPr="00AE0D77">
        <w:rPr>
          <w:rFonts w:eastAsia="標楷體"/>
          <w:kern w:val="0"/>
          <w:sz w:val="22"/>
          <w:szCs w:val="22"/>
        </w:rPr>
        <w:t>為</w:t>
      </w:r>
      <w:r w:rsidRPr="00AE0D77">
        <w:rPr>
          <w:rFonts w:eastAsia="標楷體"/>
          <w:kern w:val="0"/>
          <w:sz w:val="22"/>
          <w:szCs w:val="22"/>
        </w:rPr>
        <w:t>M1B</w:t>
      </w:r>
      <w:r w:rsidRPr="00AE0D77">
        <w:rPr>
          <w:rFonts w:eastAsia="標楷體"/>
          <w:kern w:val="0"/>
          <w:sz w:val="22"/>
          <w:szCs w:val="22"/>
        </w:rPr>
        <w:t>加上準貨幣。</w:t>
      </w:r>
    </w:p>
    <w:p w:rsidR="00996C64" w:rsidRPr="00AE0D77" w:rsidRDefault="00996C64" w:rsidP="00996C64">
      <w:pPr>
        <w:pStyle w:val="af"/>
        <w:snapToGrid w:val="0"/>
        <w:spacing w:line="240" w:lineRule="auto"/>
        <w:ind w:leftChars="0" w:left="0" w:firstLineChars="0" w:firstLine="0"/>
        <w:rPr>
          <w:szCs w:val="22"/>
        </w:rPr>
      </w:pPr>
      <w:r w:rsidRPr="00AE0D77">
        <w:rPr>
          <w:szCs w:val="22"/>
        </w:rPr>
        <w:t>資料來源：中央銀行。</w:t>
      </w:r>
    </w:p>
    <w:p w:rsidR="00996C64" w:rsidRPr="00AE0D77" w:rsidRDefault="00996C64" w:rsidP="00996C64">
      <w:pPr>
        <w:pStyle w:val="t-4"/>
        <w:tabs>
          <w:tab w:val="clear" w:pos="540"/>
        </w:tabs>
        <w:snapToGrid w:val="0"/>
        <w:spacing w:before="360" w:afterLines="0" w:after="0" w:line="300" w:lineRule="auto"/>
        <w:ind w:leftChars="0" w:left="0" w:firstLineChars="0" w:firstLine="0"/>
        <w:rPr>
          <w:color w:val="auto"/>
        </w:rPr>
      </w:pPr>
      <w:r w:rsidRPr="00AE0D77">
        <w:rPr>
          <w:color w:val="auto"/>
        </w:rPr>
        <w:t>２、</w:t>
      </w:r>
      <w:r w:rsidRPr="00AE0D77">
        <w:rPr>
          <w:color w:val="auto"/>
        </w:rPr>
        <w:t>10</w:t>
      </w:r>
      <w:r w:rsidR="00217E82" w:rsidRPr="00AE0D77">
        <w:rPr>
          <w:color w:val="auto"/>
        </w:rPr>
        <w:t>6</w:t>
      </w:r>
      <w:r w:rsidRPr="00AE0D77">
        <w:rPr>
          <w:color w:val="auto"/>
        </w:rPr>
        <w:t>年</w:t>
      </w:r>
      <w:r w:rsidRPr="00AE0D77">
        <w:rPr>
          <w:color w:val="auto"/>
        </w:rPr>
        <w:t>5</w:t>
      </w:r>
      <w:r w:rsidRPr="00AE0D77">
        <w:rPr>
          <w:color w:val="auto"/>
        </w:rPr>
        <w:t>月市場利率</w:t>
      </w:r>
    </w:p>
    <w:p w:rsidR="00996C64" w:rsidRPr="00AE0D77" w:rsidRDefault="00D66EEC" w:rsidP="00D66EEC">
      <w:pPr>
        <w:pStyle w:val="k32"/>
        <w:topLinePunct/>
        <w:ind w:leftChars="118" w:left="283" w:rightChars="-59" w:firstLineChars="202" w:firstLine="566"/>
        <w:rPr>
          <w:szCs w:val="28"/>
        </w:rPr>
      </w:pPr>
      <w:r w:rsidRPr="00AE0D77">
        <w:rPr>
          <w:noProof/>
        </w:rPr>
        <w:drawing>
          <wp:anchor distT="0" distB="0" distL="114300" distR="114300" simplePos="0" relativeHeight="252455424" behindDoc="0" locked="0" layoutInCell="1" allowOverlap="1" wp14:anchorId="1C828933" wp14:editId="56D62C96">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996C64" w:rsidRPr="00AE0D77">
        <w:rPr>
          <w:szCs w:val="28"/>
        </w:rPr>
        <w:t>貨幣市場方面，</w:t>
      </w:r>
      <w:r w:rsidR="00996C64" w:rsidRPr="00AE0D77">
        <w:rPr>
          <w:szCs w:val="28"/>
        </w:rPr>
        <w:t>10</w:t>
      </w:r>
      <w:r w:rsidR="00217E82" w:rsidRPr="00AE0D77">
        <w:rPr>
          <w:szCs w:val="28"/>
        </w:rPr>
        <w:t>6</w:t>
      </w:r>
      <w:r w:rsidR="00996C64" w:rsidRPr="00AE0D77">
        <w:rPr>
          <w:szCs w:val="28"/>
        </w:rPr>
        <w:t>年</w:t>
      </w:r>
      <w:r w:rsidR="00996C64" w:rsidRPr="00AE0D77">
        <w:rPr>
          <w:szCs w:val="28"/>
        </w:rPr>
        <w:t>5</w:t>
      </w:r>
      <w:r w:rsidR="00996C64" w:rsidRPr="00AE0D77">
        <w:rPr>
          <w:szCs w:val="28"/>
        </w:rPr>
        <w:t>月金融業隔夜拆款利率</w:t>
      </w:r>
      <w:r w:rsidR="00996C64" w:rsidRPr="00AE0D77">
        <w:rPr>
          <w:szCs w:val="28"/>
        </w:rPr>
        <w:t>0.</w:t>
      </w:r>
      <w:r w:rsidR="00217E82" w:rsidRPr="00AE0D77">
        <w:rPr>
          <w:szCs w:val="28"/>
        </w:rPr>
        <w:t>172</w:t>
      </w:r>
      <w:r w:rsidR="00996C64" w:rsidRPr="00AE0D77">
        <w:rPr>
          <w:szCs w:val="28"/>
        </w:rPr>
        <w:t>%</w:t>
      </w:r>
      <w:r w:rsidR="00996C64" w:rsidRPr="00AE0D77">
        <w:rPr>
          <w:szCs w:val="28"/>
        </w:rPr>
        <w:t>，</w:t>
      </w:r>
      <w:r w:rsidR="00217E82" w:rsidRPr="00AE0D77">
        <w:rPr>
          <w:szCs w:val="28"/>
        </w:rPr>
        <w:t>低於上月</w:t>
      </w:r>
      <w:r w:rsidR="00217E82" w:rsidRPr="00AE0D77">
        <w:rPr>
          <w:szCs w:val="28"/>
        </w:rPr>
        <w:t>0.175%</w:t>
      </w:r>
      <w:r w:rsidR="00996C64" w:rsidRPr="00AE0D77">
        <w:rPr>
          <w:szCs w:val="28"/>
        </w:rPr>
        <w:t>；初級市場商業本票</w:t>
      </w:r>
      <w:r w:rsidR="00996C64" w:rsidRPr="00AE0D77">
        <w:t>30</w:t>
      </w:r>
      <w:r w:rsidR="00996C64" w:rsidRPr="00AE0D77">
        <w:rPr>
          <w:szCs w:val="28"/>
        </w:rPr>
        <w:t>天期利率</w:t>
      </w:r>
      <w:r w:rsidR="00217E82" w:rsidRPr="00AE0D77">
        <w:rPr>
          <w:szCs w:val="28"/>
        </w:rPr>
        <w:t>0.59</w:t>
      </w:r>
      <w:r w:rsidR="00996C64" w:rsidRPr="00AE0D77">
        <w:rPr>
          <w:szCs w:val="28"/>
        </w:rPr>
        <w:t>%</w:t>
      </w:r>
      <w:r w:rsidR="00996C64" w:rsidRPr="00AE0D77">
        <w:rPr>
          <w:szCs w:val="28"/>
        </w:rPr>
        <w:t>，</w:t>
      </w:r>
      <w:r w:rsidR="00217E82" w:rsidRPr="00AE0D77">
        <w:rPr>
          <w:szCs w:val="28"/>
        </w:rPr>
        <w:t>高</w:t>
      </w:r>
      <w:r w:rsidR="00996C64" w:rsidRPr="00AE0D77">
        <w:rPr>
          <w:szCs w:val="28"/>
        </w:rPr>
        <w:t>於上月</w:t>
      </w:r>
      <w:r w:rsidR="00996C64" w:rsidRPr="00AE0D77">
        <w:rPr>
          <w:szCs w:val="28"/>
        </w:rPr>
        <w:t>0.57%</w:t>
      </w:r>
      <w:r w:rsidR="00996C64" w:rsidRPr="00AE0D77">
        <w:rPr>
          <w:szCs w:val="28"/>
        </w:rPr>
        <w:t>。</w:t>
      </w:r>
    </w:p>
    <w:p w:rsidR="00996C64" w:rsidRPr="00AE0D77" w:rsidRDefault="00996C64" w:rsidP="00996C64">
      <w:pPr>
        <w:snapToGrid w:val="0"/>
        <w:spacing w:before="120" w:line="300" w:lineRule="auto"/>
        <w:ind w:rightChars="-59" w:right="-142"/>
        <w:jc w:val="both"/>
        <w:rPr>
          <w:rFonts w:eastAsia="標楷體"/>
          <w:sz w:val="28"/>
          <w:szCs w:val="16"/>
        </w:rPr>
      </w:pPr>
    </w:p>
    <w:p w:rsidR="00996C64" w:rsidRPr="00AE0D77" w:rsidRDefault="00996C64" w:rsidP="00996C64">
      <w:pPr>
        <w:snapToGrid w:val="0"/>
        <w:spacing w:before="120" w:line="300" w:lineRule="auto"/>
        <w:ind w:rightChars="-59" w:right="-142"/>
        <w:jc w:val="both"/>
        <w:rPr>
          <w:rFonts w:eastAsia="標楷體"/>
          <w:sz w:val="28"/>
          <w:szCs w:val="16"/>
        </w:rPr>
      </w:pPr>
    </w:p>
    <w:p w:rsidR="00996C64" w:rsidRPr="00AE0D77" w:rsidRDefault="00996C64" w:rsidP="00996C64">
      <w:pPr>
        <w:snapToGrid w:val="0"/>
        <w:spacing w:before="120" w:line="300" w:lineRule="auto"/>
        <w:ind w:rightChars="-59" w:right="-142"/>
        <w:jc w:val="both"/>
        <w:rPr>
          <w:rFonts w:eastAsia="標楷體"/>
          <w:sz w:val="28"/>
          <w:szCs w:val="16"/>
        </w:rPr>
      </w:pPr>
    </w:p>
    <w:p w:rsidR="00996C64" w:rsidRPr="00AE0D77" w:rsidRDefault="00996C64" w:rsidP="00996C64">
      <w:pPr>
        <w:pStyle w:val="t-4"/>
        <w:snapToGrid w:val="0"/>
        <w:spacing w:before="120" w:afterLines="0" w:after="0" w:line="300" w:lineRule="auto"/>
        <w:ind w:leftChars="0" w:left="426" w:hangingChars="152" w:hanging="426"/>
        <w:rPr>
          <w:color w:val="auto"/>
        </w:rPr>
      </w:pPr>
      <w:r w:rsidRPr="00AE0D77">
        <w:rPr>
          <w:color w:val="auto"/>
        </w:rPr>
        <w:t>３、</w:t>
      </w:r>
      <w:r w:rsidRPr="00AE0D77">
        <w:rPr>
          <w:color w:val="auto"/>
        </w:rPr>
        <w:t>10</w:t>
      </w:r>
      <w:r w:rsidR="002935C1" w:rsidRPr="00AE0D77">
        <w:rPr>
          <w:color w:val="auto"/>
        </w:rPr>
        <w:t>6</w:t>
      </w:r>
      <w:r w:rsidRPr="00AE0D77">
        <w:rPr>
          <w:color w:val="auto"/>
        </w:rPr>
        <w:t>年</w:t>
      </w:r>
      <w:r w:rsidRPr="00AE0D77">
        <w:rPr>
          <w:color w:val="auto"/>
        </w:rPr>
        <w:t>5</w:t>
      </w:r>
      <w:r w:rsidRPr="00AE0D77">
        <w:rPr>
          <w:color w:val="auto"/>
        </w:rPr>
        <w:t>月主要金融機構放款及投資</w:t>
      </w:r>
    </w:p>
    <w:p w:rsidR="00996C64" w:rsidRPr="00AE0D77" w:rsidRDefault="00736340" w:rsidP="00996C64">
      <w:pPr>
        <w:pStyle w:val="k32"/>
        <w:topLinePunct/>
        <w:spacing w:beforeLines="100" w:before="360"/>
        <w:ind w:leftChars="118" w:left="283" w:rightChars="-59" w:firstLineChars="202" w:firstLine="566"/>
        <w:rPr>
          <w:b/>
          <w:bCs/>
        </w:rPr>
      </w:pPr>
      <w:r w:rsidRPr="00AE0D77">
        <w:rPr>
          <w:noProof/>
        </w:rPr>
        <w:drawing>
          <wp:anchor distT="0" distB="0" distL="114300" distR="114300" simplePos="0" relativeHeight="252457472" behindDoc="0" locked="0" layoutInCell="1" allowOverlap="1" wp14:anchorId="71796622" wp14:editId="595018EA">
            <wp:simplePos x="0" y="0"/>
            <wp:positionH relativeFrom="column">
              <wp:posOffset>2317115</wp:posOffset>
            </wp:positionH>
            <wp:positionV relativeFrom="paragraph">
              <wp:posOffset>289560</wp:posOffset>
            </wp:positionV>
            <wp:extent cx="4025900" cy="285750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AE0D77">
        <w:rPr>
          <w:noProof/>
        </w:rPr>
        <w:drawing>
          <wp:anchor distT="0" distB="0" distL="114300" distR="114300" simplePos="0" relativeHeight="252469760" behindDoc="0" locked="0" layoutInCell="1" allowOverlap="1" wp14:anchorId="70D8BEDE" wp14:editId="461F4023">
            <wp:simplePos x="0" y="0"/>
            <wp:positionH relativeFrom="column">
              <wp:posOffset>2077085</wp:posOffset>
            </wp:positionH>
            <wp:positionV relativeFrom="paragraph">
              <wp:posOffset>229870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996C64" w:rsidRPr="00AE0D77">
        <w:t>10</w:t>
      </w:r>
      <w:r w:rsidR="002935C1" w:rsidRPr="00AE0D77">
        <w:t>6</w:t>
      </w:r>
      <w:r w:rsidR="00996C64" w:rsidRPr="00AE0D77">
        <w:t>年</w:t>
      </w:r>
      <w:r w:rsidR="00996C64" w:rsidRPr="00AE0D77">
        <w:t>5</w:t>
      </w:r>
      <w:r w:rsidR="00996C64" w:rsidRPr="00AE0D77">
        <w:t>月主要金融機構放款與投資餘額為</w:t>
      </w:r>
      <w:r w:rsidR="002935C1" w:rsidRPr="00AE0D77">
        <w:t>31.30</w:t>
      </w:r>
      <w:r w:rsidR="00996C64" w:rsidRPr="00AE0D77">
        <w:t>兆元，較上月增加，年增率</w:t>
      </w:r>
      <w:r w:rsidR="002935C1" w:rsidRPr="00AE0D77">
        <w:t>5.06</w:t>
      </w:r>
      <w:r w:rsidR="00996C64" w:rsidRPr="00AE0D77">
        <w:t>%</w:t>
      </w:r>
      <w:r w:rsidR="00996C64" w:rsidRPr="00AE0D77">
        <w:t>；放款餘額較上月</w:t>
      </w:r>
      <w:r w:rsidR="002935C1" w:rsidRPr="00AE0D77">
        <w:t>增加</w:t>
      </w:r>
      <w:r w:rsidR="00996C64" w:rsidRPr="00AE0D77">
        <w:t>，年增率</w:t>
      </w:r>
      <w:r w:rsidR="002935C1" w:rsidRPr="00AE0D77">
        <w:t>5.05</w:t>
      </w:r>
      <w:r w:rsidR="00996C64" w:rsidRPr="00AE0D77">
        <w:t>%</w:t>
      </w:r>
      <w:r w:rsidR="00996C64" w:rsidRPr="00AE0D77">
        <w:t>。</w:t>
      </w:r>
    </w:p>
    <w:p w:rsidR="00996C64" w:rsidRPr="00AE0D77" w:rsidRDefault="00996C64" w:rsidP="00996C64">
      <w:pPr>
        <w:pStyle w:val="t-4"/>
        <w:spacing w:before="180" w:after="180"/>
        <w:ind w:leftChars="0" w:left="0" w:firstLineChars="0" w:firstLine="0"/>
        <w:rPr>
          <w:color w:val="auto"/>
        </w:rPr>
      </w:pPr>
    </w:p>
    <w:p w:rsidR="00996C64" w:rsidRPr="00AE0D77" w:rsidRDefault="00996C64" w:rsidP="00996C64">
      <w:pPr>
        <w:rPr>
          <w:rFonts w:eastAsia="標楷體"/>
        </w:rPr>
      </w:pPr>
    </w:p>
    <w:p w:rsidR="00996C64" w:rsidRPr="00AE0D77" w:rsidRDefault="00996C64" w:rsidP="00996C64">
      <w:pPr>
        <w:rPr>
          <w:rFonts w:eastAsia="標楷體"/>
        </w:rPr>
      </w:pPr>
    </w:p>
    <w:p w:rsidR="00996C64" w:rsidRPr="00AE0D77" w:rsidRDefault="00996C64" w:rsidP="00996C64">
      <w:pPr>
        <w:rPr>
          <w:rFonts w:eastAsia="標楷體"/>
        </w:rPr>
      </w:pPr>
    </w:p>
    <w:p w:rsidR="00996C64" w:rsidRPr="00AE0D77" w:rsidRDefault="00996C64" w:rsidP="00996C64">
      <w:pPr>
        <w:pStyle w:val="t-4"/>
        <w:snapToGrid w:val="0"/>
        <w:spacing w:before="120" w:afterLines="0" w:after="0" w:line="300" w:lineRule="auto"/>
        <w:ind w:leftChars="0" w:left="0" w:firstLineChars="0" w:firstLine="0"/>
        <w:rPr>
          <w:color w:val="auto"/>
        </w:rPr>
      </w:pPr>
      <w:r w:rsidRPr="00AE0D77">
        <w:rPr>
          <w:color w:val="auto"/>
        </w:rPr>
        <w:t>４、</w:t>
      </w:r>
      <w:r w:rsidRPr="00AE0D77">
        <w:rPr>
          <w:color w:val="auto"/>
        </w:rPr>
        <w:t>10</w:t>
      </w:r>
      <w:r w:rsidR="004360F3" w:rsidRPr="00AE0D77">
        <w:rPr>
          <w:color w:val="auto"/>
        </w:rPr>
        <w:t>6</w:t>
      </w:r>
      <w:r w:rsidRPr="00AE0D77">
        <w:rPr>
          <w:color w:val="auto"/>
        </w:rPr>
        <w:t>年</w:t>
      </w:r>
      <w:r w:rsidRPr="00AE0D77">
        <w:rPr>
          <w:color w:val="auto"/>
        </w:rPr>
        <w:t>5</w:t>
      </w:r>
      <w:r w:rsidRPr="00AE0D77">
        <w:rPr>
          <w:color w:val="auto"/>
        </w:rPr>
        <w:t>月平均新臺幣對美元匯率為</w:t>
      </w:r>
      <w:r w:rsidR="004360F3" w:rsidRPr="00AE0D77">
        <w:rPr>
          <w:color w:val="auto"/>
        </w:rPr>
        <w:t>30.156</w:t>
      </w:r>
    </w:p>
    <w:p w:rsidR="00996C64" w:rsidRPr="00AE0D77" w:rsidRDefault="00996C64" w:rsidP="00996C64">
      <w:pPr>
        <w:pStyle w:val="k32"/>
        <w:topLinePunct/>
        <w:spacing w:beforeLines="0" w:before="120"/>
        <w:ind w:leftChars="118" w:left="283" w:rightChars="-59" w:firstLineChars="202" w:firstLine="566"/>
      </w:pPr>
      <w:r w:rsidRPr="00AE0D77">
        <w:t>10</w:t>
      </w:r>
      <w:r w:rsidR="004360F3" w:rsidRPr="00AE0D77">
        <w:t>6</w:t>
      </w:r>
      <w:r w:rsidRPr="00AE0D77">
        <w:t>年</w:t>
      </w:r>
      <w:r w:rsidRPr="00AE0D77">
        <w:t>5</w:t>
      </w:r>
      <w:r w:rsidRPr="00AE0D77">
        <w:t>月新臺幣對美元平均匯率為</w:t>
      </w:r>
      <w:r w:rsidR="004360F3" w:rsidRPr="00AE0D77">
        <w:t>30.156</w:t>
      </w:r>
      <w:r w:rsidRPr="00AE0D77">
        <w:t>，較上月匯率</w:t>
      </w:r>
      <w:r w:rsidR="004360F3" w:rsidRPr="00AE0D77">
        <w:t>30.390</w:t>
      </w:r>
      <w:r w:rsidR="004360F3" w:rsidRPr="00AE0D77">
        <w:t>升</w:t>
      </w:r>
      <w:r w:rsidRPr="00AE0D77">
        <w:t>值</w:t>
      </w:r>
      <w:r w:rsidR="004360F3" w:rsidRPr="00AE0D77">
        <w:t>0.7</w:t>
      </w:r>
      <w:r w:rsidR="00961824" w:rsidRPr="00AE0D77">
        <w:t>8</w:t>
      </w:r>
      <w:r w:rsidRPr="00AE0D77">
        <w:t>%</w:t>
      </w:r>
      <w:r w:rsidRPr="00AE0D77">
        <w:t>，較上年同月匯率</w:t>
      </w:r>
      <w:r w:rsidR="004360F3" w:rsidRPr="00AE0D77">
        <w:t>32.573</w:t>
      </w:r>
      <w:r w:rsidR="004360F3" w:rsidRPr="00AE0D77">
        <w:t>升</w:t>
      </w:r>
      <w:r w:rsidRPr="00AE0D77">
        <w:t>值</w:t>
      </w:r>
      <w:r w:rsidR="00961824" w:rsidRPr="00AE0D77">
        <w:t>8.01</w:t>
      </w:r>
      <w:r w:rsidRPr="00AE0D77">
        <w:t>%</w:t>
      </w:r>
      <w:r w:rsidRPr="00AE0D77">
        <w:t>。</w:t>
      </w:r>
    </w:p>
    <w:p w:rsidR="00996C64" w:rsidRPr="00AE0D77" w:rsidRDefault="00996C64" w:rsidP="00996C64">
      <w:pPr>
        <w:pStyle w:val="t-4"/>
        <w:tabs>
          <w:tab w:val="clear" w:pos="540"/>
        </w:tabs>
        <w:snapToGrid w:val="0"/>
        <w:spacing w:before="360" w:afterLines="0" w:after="0" w:line="300" w:lineRule="auto"/>
        <w:ind w:leftChars="0" w:left="0" w:firstLineChars="0" w:firstLine="0"/>
        <w:rPr>
          <w:color w:val="auto"/>
        </w:rPr>
      </w:pPr>
    </w:p>
    <w:p w:rsidR="00586623" w:rsidRPr="00AE0D77" w:rsidRDefault="00586623" w:rsidP="00586623">
      <w:pPr>
        <w:rPr>
          <w:rFonts w:eastAsia="標楷體"/>
        </w:rPr>
      </w:pPr>
    </w:p>
    <w:p w:rsidR="00996C64" w:rsidRPr="00AE0D77" w:rsidRDefault="00996C64" w:rsidP="00996C64">
      <w:pPr>
        <w:pStyle w:val="t-4"/>
        <w:tabs>
          <w:tab w:val="clear" w:pos="540"/>
        </w:tabs>
        <w:snapToGrid w:val="0"/>
        <w:spacing w:before="360" w:afterLines="0" w:after="0" w:line="300" w:lineRule="auto"/>
        <w:ind w:leftChars="0" w:left="566" w:hangingChars="202" w:hanging="566"/>
        <w:rPr>
          <w:color w:val="auto"/>
        </w:rPr>
      </w:pPr>
      <w:r w:rsidRPr="00AE0D77">
        <w:rPr>
          <w:color w:val="auto"/>
        </w:rPr>
        <w:t>５、</w:t>
      </w:r>
      <w:r w:rsidRPr="00AE0D77">
        <w:rPr>
          <w:color w:val="auto"/>
        </w:rPr>
        <w:t>10</w:t>
      </w:r>
      <w:r w:rsidR="00AF0129" w:rsidRPr="00AE0D77">
        <w:rPr>
          <w:color w:val="auto"/>
        </w:rPr>
        <w:t>6</w:t>
      </w:r>
      <w:r w:rsidRPr="00AE0D77">
        <w:rPr>
          <w:color w:val="auto"/>
        </w:rPr>
        <w:t>年</w:t>
      </w:r>
      <w:r w:rsidRPr="00AE0D77">
        <w:rPr>
          <w:color w:val="auto"/>
        </w:rPr>
        <w:t>5</w:t>
      </w:r>
      <w:r w:rsidRPr="00AE0D77">
        <w:rPr>
          <w:color w:val="auto"/>
        </w:rPr>
        <w:t>月底外匯存底為</w:t>
      </w:r>
      <w:r w:rsidRPr="00AE0D77">
        <w:rPr>
          <w:color w:val="auto"/>
        </w:rPr>
        <w:t>4,</w:t>
      </w:r>
      <w:r w:rsidR="00AF0129" w:rsidRPr="00AE0D77">
        <w:rPr>
          <w:color w:val="auto"/>
        </w:rPr>
        <w:t>402.53</w:t>
      </w:r>
      <w:r w:rsidRPr="00AE0D77">
        <w:rPr>
          <w:color w:val="auto"/>
        </w:rPr>
        <w:t>億美元</w:t>
      </w:r>
    </w:p>
    <w:p w:rsidR="00996C64" w:rsidRPr="00AE0D77" w:rsidRDefault="00AF0129" w:rsidP="00AF0129">
      <w:pPr>
        <w:widowControl/>
        <w:topLinePunct/>
        <w:snapToGrid w:val="0"/>
        <w:spacing w:beforeLines="50" w:before="180" w:line="300" w:lineRule="auto"/>
        <w:ind w:leftChars="118" w:left="283" w:rightChars="-59" w:right="-142" w:firstLineChars="236" w:firstLine="566"/>
        <w:jc w:val="both"/>
        <w:rPr>
          <w:rFonts w:eastAsia="標楷體"/>
          <w:sz w:val="28"/>
          <w:szCs w:val="28"/>
        </w:rPr>
      </w:pPr>
      <w:r w:rsidRPr="00AE0D77">
        <w:rPr>
          <w:rFonts w:eastAsia="標楷體"/>
          <w:noProof/>
        </w:rPr>
        <w:drawing>
          <wp:anchor distT="0" distB="0" distL="114300" distR="114300" simplePos="0" relativeHeight="252451328" behindDoc="1" locked="0" layoutInCell="1" allowOverlap="1" wp14:anchorId="37EC515D" wp14:editId="7FFA1DAB">
            <wp:simplePos x="0" y="0"/>
            <wp:positionH relativeFrom="column">
              <wp:posOffset>3356610</wp:posOffset>
            </wp:positionH>
            <wp:positionV relativeFrom="paragraph">
              <wp:posOffset>248920</wp:posOffset>
            </wp:positionV>
            <wp:extent cx="3054350" cy="2572385"/>
            <wp:effectExtent l="0" t="0" r="0" b="0"/>
            <wp:wrapSquare wrapText="bothSides"/>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996C64" w:rsidRPr="00AE0D77">
        <w:rPr>
          <w:rFonts w:eastAsia="標楷體"/>
          <w:sz w:val="28"/>
          <w:szCs w:val="28"/>
        </w:rPr>
        <w:t>10</w:t>
      </w:r>
      <w:r w:rsidRPr="00AE0D77">
        <w:rPr>
          <w:rFonts w:eastAsia="標楷體"/>
          <w:sz w:val="28"/>
          <w:szCs w:val="28"/>
        </w:rPr>
        <w:t>6</w:t>
      </w:r>
      <w:r w:rsidR="00996C64" w:rsidRPr="00AE0D77">
        <w:rPr>
          <w:rFonts w:eastAsia="標楷體"/>
          <w:sz w:val="28"/>
          <w:szCs w:val="28"/>
        </w:rPr>
        <w:t>年</w:t>
      </w:r>
      <w:r w:rsidR="00996C64" w:rsidRPr="00AE0D77">
        <w:rPr>
          <w:rFonts w:eastAsia="標楷體"/>
          <w:sz w:val="28"/>
          <w:szCs w:val="28"/>
        </w:rPr>
        <w:t>5</w:t>
      </w:r>
      <w:r w:rsidR="00996C64" w:rsidRPr="00AE0D77">
        <w:rPr>
          <w:rFonts w:eastAsia="標楷體"/>
          <w:sz w:val="28"/>
          <w:szCs w:val="28"/>
        </w:rPr>
        <w:t>月底，我國外匯存底金額為</w:t>
      </w:r>
      <w:r w:rsidR="00996C64" w:rsidRPr="00AE0D77">
        <w:rPr>
          <w:rFonts w:eastAsia="標楷體"/>
          <w:sz w:val="28"/>
          <w:szCs w:val="28"/>
        </w:rPr>
        <w:t>4,</w:t>
      </w:r>
      <w:r w:rsidRPr="00AE0D77">
        <w:rPr>
          <w:rFonts w:eastAsia="標楷體"/>
          <w:sz w:val="28"/>
          <w:szCs w:val="28"/>
        </w:rPr>
        <w:t>402.53</w:t>
      </w:r>
      <w:r w:rsidR="00996C64" w:rsidRPr="00AE0D77">
        <w:rPr>
          <w:rFonts w:eastAsia="標楷體"/>
          <w:sz w:val="28"/>
          <w:szCs w:val="28"/>
        </w:rPr>
        <w:t>億美元，較上月底增加</w:t>
      </w:r>
      <w:r w:rsidRPr="00AE0D77">
        <w:rPr>
          <w:rFonts w:eastAsia="標楷體"/>
          <w:sz w:val="28"/>
          <w:szCs w:val="28"/>
        </w:rPr>
        <w:t>18.27</w:t>
      </w:r>
      <w:r w:rsidR="00996C64" w:rsidRPr="00AE0D77">
        <w:rPr>
          <w:rFonts w:eastAsia="標楷體"/>
          <w:sz w:val="28"/>
          <w:szCs w:val="28"/>
        </w:rPr>
        <w:t>億美元，係因外匯存底投資運用收益</w:t>
      </w:r>
      <w:r w:rsidRPr="00AE0D77">
        <w:rPr>
          <w:rFonts w:eastAsia="標楷體"/>
          <w:sz w:val="28"/>
          <w:szCs w:val="28"/>
        </w:rPr>
        <w:t>增加，以及歐元等貨幣對美元升值，以該等貨幣持有之外匯折成美元後金額增加</w:t>
      </w:r>
      <w:r w:rsidR="00996C64" w:rsidRPr="00AE0D77">
        <w:rPr>
          <w:rFonts w:eastAsia="標楷體"/>
          <w:sz w:val="28"/>
          <w:szCs w:val="28"/>
        </w:rPr>
        <w:t>。</w:t>
      </w:r>
    </w:p>
    <w:p w:rsidR="00996C64" w:rsidRPr="00AE0D77"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996C64" w:rsidRPr="00AE0D77"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996C64" w:rsidRPr="00AE0D77"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996C64" w:rsidRPr="00AE0D77"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996C64" w:rsidRPr="00AE0D77" w:rsidRDefault="00996C64" w:rsidP="00996C64">
      <w:pPr>
        <w:pStyle w:val="k32"/>
        <w:topLinePunct/>
        <w:spacing w:beforeLines="100" w:before="360"/>
        <w:ind w:left="0" w:rightChars="-59" w:firstLineChars="0" w:firstLine="0"/>
        <w:rPr>
          <w:b/>
          <w:bCs/>
        </w:rPr>
      </w:pPr>
      <w:r w:rsidRPr="00AE0D77">
        <w:rPr>
          <w:b/>
          <w:bCs/>
        </w:rPr>
        <w:t>６、</w:t>
      </w:r>
      <w:r w:rsidRPr="00AE0D77">
        <w:rPr>
          <w:b/>
          <w:bCs/>
        </w:rPr>
        <w:t>10</w:t>
      </w:r>
      <w:r w:rsidR="003E098D" w:rsidRPr="00AE0D77">
        <w:rPr>
          <w:b/>
          <w:bCs/>
        </w:rPr>
        <w:t>6</w:t>
      </w:r>
      <w:r w:rsidRPr="00AE0D77">
        <w:rPr>
          <w:b/>
          <w:bCs/>
        </w:rPr>
        <w:t>年</w:t>
      </w:r>
      <w:r w:rsidRPr="00AE0D77">
        <w:rPr>
          <w:b/>
          <w:bCs/>
        </w:rPr>
        <w:t>5</w:t>
      </w:r>
      <w:r w:rsidRPr="00AE0D77">
        <w:rPr>
          <w:b/>
          <w:bCs/>
        </w:rPr>
        <w:t>月臺灣加權股價平均收盤指數為</w:t>
      </w:r>
      <w:r w:rsidR="003E098D" w:rsidRPr="00AE0D77">
        <w:rPr>
          <w:b/>
          <w:bCs/>
        </w:rPr>
        <w:t>9</w:t>
      </w:r>
      <w:r w:rsidRPr="00AE0D77">
        <w:rPr>
          <w:b/>
          <w:bCs/>
        </w:rPr>
        <w:t>,</w:t>
      </w:r>
      <w:r w:rsidR="003E098D" w:rsidRPr="00AE0D77">
        <w:rPr>
          <w:b/>
          <w:bCs/>
        </w:rPr>
        <w:t>993.66</w:t>
      </w:r>
    </w:p>
    <w:p w:rsidR="00996C64" w:rsidRPr="00AE0D77" w:rsidRDefault="00996C64" w:rsidP="00996C64">
      <w:pPr>
        <w:pStyle w:val="k32"/>
        <w:topLinePunct/>
        <w:ind w:leftChars="118" w:left="283" w:rightChars="-59" w:firstLineChars="202" w:firstLine="566"/>
        <w:rPr>
          <w:spacing w:val="-4"/>
        </w:rPr>
      </w:pPr>
      <w:r w:rsidRPr="00AE0D77">
        <w:t>臺灣股票市場</w:t>
      </w:r>
      <w:r w:rsidRPr="00AE0D77">
        <w:t>105</w:t>
      </w:r>
      <w:r w:rsidRPr="00AE0D77">
        <w:t>年</w:t>
      </w:r>
      <w:r w:rsidRPr="00AE0D77">
        <w:t>5</w:t>
      </w:r>
      <w:r w:rsidRPr="00AE0D77">
        <w:t>月平均股價收盤指數為</w:t>
      </w:r>
      <w:r w:rsidR="003E098D" w:rsidRPr="00AE0D77">
        <w:t>9,993.66</w:t>
      </w:r>
      <w:r w:rsidRPr="00AE0D77">
        <w:t>，較上月</w:t>
      </w:r>
      <w:r w:rsidRPr="00AE0D77">
        <w:rPr>
          <w:spacing w:val="-4"/>
        </w:rPr>
        <w:t>平均收盤指數</w:t>
      </w:r>
      <w:r w:rsidR="003E098D" w:rsidRPr="00AE0D77">
        <w:t>9,801.37</w:t>
      </w:r>
      <w:r w:rsidR="003E098D" w:rsidRPr="00AE0D77">
        <w:t>上漲</w:t>
      </w:r>
      <w:r w:rsidR="003E098D" w:rsidRPr="00AE0D77">
        <w:t>1.96</w:t>
      </w:r>
      <w:r w:rsidRPr="00AE0D77">
        <w:rPr>
          <w:spacing w:val="-4"/>
        </w:rPr>
        <w:t>%</w:t>
      </w:r>
      <w:r w:rsidRPr="00AE0D77">
        <w:rPr>
          <w:spacing w:val="-4"/>
        </w:rPr>
        <w:t>，較上年同月</w:t>
      </w:r>
      <w:r w:rsidR="003E098D" w:rsidRPr="00AE0D77">
        <w:t>8,235.47</w:t>
      </w:r>
      <w:r w:rsidR="003E098D" w:rsidRPr="00AE0D77">
        <w:rPr>
          <w:spacing w:val="-4"/>
        </w:rPr>
        <w:t>上漲</w:t>
      </w:r>
      <w:r w:rsidR="003E098D" w:rsidRPr="00AE0D77">
        <w:rPr>
          <w:spacing w:val="-4"/>
        </w:rPr>
        <w:t>21.35</w:t>
      </w:r>
      <w:r w:rsidRPr="00AE0D77">
        <w:rPr>
          <w:spacing w:val="-4"/>
        </w:rPr>
        <w:t>%</w:t>
      </w:r>
      <w:r w:rsidRPr="00AE0D77">
        <w:rPr>
          <w:spacing w:val="-4"/>
        </w:rPr>
        <w:t>。</w:t>
      </w:r>
    </w:p>
    <w:p w:rsidR="00996C64" w:rsidRPr="00AE0D77" w:rsidRDefault="00996C64" w:rsidP="00996C64">
      <w:pPr>
        <w:pStyle w:val="k32"/>
        <w:topLinePunct/>
        <w:ind w:leftChars="118" w:left="283" w:rightChars="-59" w:firstLineChars="202" w:firstLine="566"/>
      </w:pPr>
    </w:p>
    <w:p w:rsidR="00996C64" w:rsidRPr="00AE0D77" w:rsidRDefault="00651CC7" w:rsidP="00996C64">
      <w:pPr>
        <w:pStyle w:val="k32"/>
        <w:topLinePunct/>
        <w:spacing w:beforeLines="0" w:before="120"/>
        <w:ind w:leftChars="118" w:left="283" w:rightChars="-59" w:firstLineChars="0" w:firstLine="1"/>
        <w:jc w:val="center"/>
      </w:pPr>
      <w:r w:rsidRPr="00AE0D77">
        <w:rPr>
          <w:noProof/>
        </w:rPr>
        <w:drawing>
          <wp:inline distT="0" distB="0" distL="0" distR="0" wp14:anchorId="395134DD" wp14:editId="7B65D2FB">
            <wp:extent cx="5400040" cy="2997343"/>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D37B4" w:rsidRPr="00AE0D77" w:rsidRDefault="00AD37B4" w:rsidP="00AD37B4">
      <w:pPr>
        <w:rPr>
          <w:rFonts w:eastAsia="標楷體"/>
        </w:rPr>
      </w:pPr>
    </w:p>
    <w:p w:rsidR="00C9034B" w:rsidRPr="00AE0D77" w:rsidRDefault="00C9034B">
      <w:pPr>
        <w:widowControl/>
        <w:rPr>
          <w:rFonts w:eastAsia="標楷體"/>
          <w:b/>
          <w:bCs/>
          <w:sz w:val="32"/>
          <w:szCs w:val="32"/>
        </w:rPr>
      </w:pPr>
      <w:r w:rsidRPr="00AE0D77">
        <w:rPr>
          <w:rFonts w:eastAsia="標楷體"/>
        </w:rPr>
        <w:br w:type="page"/>
      </w:r>
    </w:p>
    <w:p w:rsidR="00576223" w:rsidRPr="00AE0D77" w:rsidRDefault="00576223" w:rsidP="00F81704">
      <w:pPr>
        <w:pStyle w:val="t-3"/>
        <w:snapToGrid w:val="0"/>
        <w:spacing w:line="300" w:lineRule="auto"/>
        <w:ind w:right="-60"/>
      </w:pPr>
      <w:bookmarkStart w:id="137" w:name="_Toc486347637"/>
      <w:r w:rsidRPr="00AE0D77">
        <w:t>（九）就業</w:t>
      </w:r>
      <w:bookmarkEnd w:id="127"/>
      <w:bookmarkEnd w:id="128"/>
      <w:bookmarkEnd w:id="129"/>
      <w:bookmarkEnd w:id="130"/>
      <w:bookmarkEnd w:id="131"/>
      <w:bookmarkEnd w:id="132"/>
      <w:bookmarkEnd w:id="133"/>
      <w:bookmarkEnd w:id="135"/>
      <w:bookmarkEnd w:id="136"/>
      <w:r w:rsidR="00F95314" w:rsidRPr="00AE0D77">
        <w:t>薪資</w:t>
      </w:r>
      <w:bookmarkEnd w:id="137"/>
    </w:p>
    <w:p w:rsidR="00742CC2" w:rsidRPr="00AE0D77" w:rsidRDefault="00742CC2" w:rsidP="00742CC2">
      <w:pPr>
        <w:tabs>
          <w:tab w:val="left" w:pos="540"/>
        </w:tabs>
        <w:snapToGrid w:val="0"/>
        <w:spacing w:line="300" w:lineRule="auto"/>
        <w:ind w:rightChars="-136" w:right="-326"/>
        <w:rPr>
          <w:rFonts w:eastAsia="標楷體"/>
          <w:b/>
          <w:bCs/>
          <w:spacing w:val="-4"/>
          <w:sz w:val="28"/>
          <w:szCs w:val="28"/>
        </w:rPr>
      </w:pPr>
      <w:r w:rsidRPr="00AE0D77">
        <w:rPr>
          <w:rFonts w:eastAsia="標楷體"/>
          <w:b/>
          <w:bCs/>
          <w:spacing w:val="-4"/>
          <w:sz w:val="28"/>
          <w:szCs w:val="28"/>
        </w:rPr>
        <w:t>１、</w:t>
      </w:r>
      <w:r w:rsidRPr="00AE0D77">
        <w:rPr>
          <w:rFonts w:eastAsia="標楷體"/>
          <w:b/>
          <w:bCs/>
          <w:spacing w:val="-4"/>
          <w:sz w:val="28"/>
          <w:szCs w:val="28"/>
        </w:rPr>
        <w:t>10</w:t>
      </w:r>
      <w:r w:rsidR="00C51A05" w:rsidRPr="00AE0D77">
        <w:rPr>
          <w:rFonts w:eastAsia="標楷體"/>
          <w:b/>
          <w:bCs/>
          <w:spacing w:val="-4"/>
          <w:sz w:val="28"/>
          <w:szCs w:val="28"/>
        </w:rPr>
        <w:t>6</w:t>
      </w:r>
      <w:r w:rsidRPr="00AE0D77">
        <w:rPr>
          <w:rFonts w:eastAsia="標楷體"/>
          <w:b/>
          <w:bCs/>
          <w:spacing w:val="-4"/>
          <w:sz w:val="28"/>
          <w:szCs w:val="28"/>
        </w:rPr>
        <w:t>年</w:t>
      </w:r>
      <w:r w:rsidRPr="00AE0D77">
        <w:rPr>
          <w:rFonts w:eastAsia="標楷體"/>
          <w:b/>
          <w:bCs/>
          <w:spacing w:val="-4"/>
          <w:sz w:val="28"/>
          <w:szCs w:val="28"/>
        </w:rPr>
        <w:t>5</w:t>
      </w:r>
      <w:r w:rsidRPr="00AE0D77">
        <w:rPr>
          <w:rFonts w:eastAsia="標楷體"/>
          <w:b/>
          <w:bCs/>
          <w:spacing w:val="-4"/>
          <w:sz w:val="28"/>
          <w:szCs w:val="28"/>
        </w:rPr>
        <w:t>月失業率為</w:t>
      </w:r>
      <w:r w:rsidRPr="00AE0D77">
        <w:rPr>
          <w:rFonts w:eastAsia="標楷體"/>
          <w:b/>
          <w:bCs/>
          <w:spacing w:val="-4"/>
          <w:sz w:val="28"/>
          <w:szCs w:val="28"/>
        </w:rPr>
        <w:t>3.</w:t>
      </w:r>
      <w:r w:rsidR="00C51A05" w:rsidRPr="00AE0D77">
        <w:rPr>
          <w:rFonts w:eastAsia="標楷體"/>
          <w:b/>
          <w:bCs/>
          <w:spacing w:val="-4"/>
          <w:sz w:val="28"/>
          <w:szCs w:val="28"/>
        </w:rPr>
        <w:t>66</w:t>
      </w:r>
      <w:r w:rsidRPr="00AE0D77">
        <w:rPr>
          <w:rFonts w:eastAsia="標楷體"/>
          <w:b/>
          <w:bCs/>
          <w:spacing w:val="-4"/>
          <w:sz w:val="28"/>
          <w:szCs w:val="28"/>
        </w:rPr>
        <w:t>%</w:t>
      </w:r>
      <w:r w:rsidR="00C51A05" w:rsidRPr="00AE0D77">
        <w:rPr>
          <w:rFonts w:eastAsia="標楷體"/>
          <w:b/>
          <w:bCs/>
          <w:spacing w:val="-4"/>
          <w:sz w:val="28"/>
          <w:szCs w:val="28"/>
        </w:rPr>
        <w:t>，較上年同月下降</w:t>
      </w:r>
      <w:r w:rsidRPr="00AE0D77">
        <w:rPr>
          <w:rFonts w:eastAsia="標楷體"/>
          <w:b/>
          <w:bCs/>
          <w:spacing w:val="-4"/>
          <w:sz w:val="28"/>
          <w:szCs w:val="28"/>
        </w:rPr>
        <w:t>0.</w:t>
      </w:r>
      <w:r w:rsidR="00C51A05" w:rsidRPr="00AE0D77">
        <w:rPr>
          <w:rFonts w:eastAsia="標楷體"/>
          <w:b/>
          <w:bCs/>
          <w:spacing w:val="-4"/>
          <w:sz w:val="28"/>
          <w:szCs w:val="28"/>
        </w:rPr>
        <w:t>18</w:t>
      </w:r>
      <w:r w:rsidRPr="00AE0D77">
        <w:rPr>
          <w:rFonts w:eastAsia="標楷體"/>
          <w:b/>
          <w:bCs/>
          <w:spacing w:val="-4"/>
          <w:sz w:val="28"/>
          <w:szCs w:val="28"/>
        </w:rPr>
        <w:t>個百分點</w:t>
      </w:r>
    </w:p>
    <w:p w:rsidR="00742CC2" w:rsidRPr="00AE0D77" w:rsidRDefault="00742CC2" w:rsidP="00742CC2">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－勞動力為</w:t>
      </w:r>
      <w:r w:rsidRPr="00AE0D77">
        <w:rPr>
          <w:rFonts w:eastAsia="標楷體"/>
          <w:sz w:val="28"/>
          <w:szCs w:val="28"/>
        </w:rPr>
        <w:t>1,</w:t>
      </w:r>
      <w:r w:rsidR="00C51A05" w:rsidRPr="00AE0D77">
        <w:rPr>
          <w:rFonts w:eastAsia="標楷體"/>
          <w:sz w:val="28"/>
          <w:szCs w:val="28"/>
        </w:rPr>
        <w:t>176.2</w:t>
      </w:r>
      <w:r w:rsidRPr="00AE0D77">
        <w:rPr>
          <w:rFonts w:eastAsia="標楷體"/>
          <w:sz w:val="28"/>
          <w:szCs w:val="28"/>
        </w:rPr>
        <w:t>萬人，較上年同月增加</w:t>
      </w:r>
      <w:r w:rsidR="00C51A05" w:rsidRPr="00AE0D77">
        <w:rPr>
          <w:rFonts w:eastAsia="標楷體"/>
          <w:sz w:val="28"/>
          <w:szCs w:val="28"/>
        </w:rPr>
        <w:t>0.57</w:t>
      </w:r>
      <w:r w:rsidRPr="00AE0D77">
        <w:rPr>
          <w:rFonts w:eastAsia="標楷體"/>
          <w:sz w:val="28"/>
          <w:szCs w:val="28"/>
        </w:rPr>
        <w:t>%</w:t>
      </w:r>
      <w:r w:rsidRPr="00AE0D77">
        <w:rPr>
          <w:rFonts w:eastAsia="標楷體"/>
          <w:sz w:val="28"/>
          <w:szCs w:val="28"/>
        </w:rPr>
        <w:t>；勞動力參與率為</w:t>
      </w:r>
      <w:r w:rsidRPr="00AE0D77">
        <w:rPr>
          <w:rFonts w:eastAsia="標楷體"/>
          <w:sz w:val="28"/>
          <w:szCs w:val="28"/>
        </w:rPr>
        <w:t>58.</w:t>
      </w:r>
      <w:r w:rsidR="00C51A05" w:rsidRPr="00AE0D77">
        <w:rPr>
          <w:rFonts w:eastAsia="標楷體"/>
          <w:sz w:val="28"/>
          <w:szCs w:val="28"/>
        </w:rPr>
        <w:t>70</w:t>
      </w:r>
      <w:r w:rsidRPr="00AE0D77">
        <w:rPr>
          <w:rFonts w:eastAsia="標楷體"/>
          <w:sz w:val="28"/>
          <w:szCs w:val="28"/>
        </w:rPr>
        <w:t>%</w:t>
      </w:r>
      <w:r w:rsidRPr="00AE0D77">
        <w:rPr>
          <w:rFonts w:eastAsia="標楷體"/>
          <w:sz w:val="28"/>
          <w:szCs w:val="28"/>
        </w:rPr>
        <w:t>，較上年同月</w:t>
      </w:r>
      <w:r w:rsidR="00910D24" w:rsidRPr="00AE0D77">
        <w:rPr>
          <w:rFonts w:eastAsia="標楷體"/>
          <w:sz w:val="28"/>
          <w:szCs w:val="28"/>
        </w:rPr>
        <w:t>上升</w:t>
      </w:r>
      <w:r w:rsidR="00C51A05" w:rsidRPr="00AE0D77">
        <w:rPr>
          <w:rFonts w:eastAsia="標楷體"/>
          <w:sz w:val="28"/>
          <w:szCs w:val="28"/>
        </w:rPr>
        <w:t>0.07</w:t>
      </w:r>
      <w:r w:rsidRPr="00AE0D77">
        <w:rPr>
          <w:rFonts w:eastAsia="標楷體"/>
          <w:sz w:val="28"/>
          <w:szCs w:val="28"/>
        </w:rPr>
        <w:t>個百分點。</w:t>
      </w:r>
    </w:p>
    <w:p w:rsidR="00742CC2" w:rsidRPr="00AE0D77" w:rsidRDefault="00742CC2" w:rsidP="00742CC2">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－就業人數為</w:t>
      </w:r>
      <w:r w:rsidRPr="00AE0D77">
        <w:rPr>
          <w:rFonts w:eastAsia="標楷體"/>
          <w:sz w:val="28"/>
          <w:szCs w:val="28"/>
        </w:rPr>
        <w:t>1,1</w:t>
      </w:r>
      <w:r w:rsidR="00C51A05" w:rsidRPr="00AE0D77">
        <w:rPr>
          <w:rFonts w:eastAsia="標楷體"/>
          <w:sz w:val="28"/>
          <w:szCs w:val="28"/>
        </w:rPr>
        <w:t>33.1</w:t>
      </w:r>
      <w:r w:rsidRPr="00AE0D77">
        <w:rPr>
          <w:rFonts w:eastAsia="標楷體"/>
          <w:sz w:val="28"/>
          <w:szCs w:val="28"/>
        </w:rPr>
        <w:t>萬人，較上年同月增加</w:t>
      </w:r>
      <w:r w:rsidRPr="00AE0D77">
        <w:rPr>
          <w:rFonts w:eastAsia="標楷體"/>
          <w:sz w:val="28"/>
          <w:szCs w:val="28"/>
        </w:rPr>
        <w:t>0.</w:t>
      </w:r>
      <w:r w:rsidR="00C51A05" w:rsidRPr="00AE0D77">
        <w:rPr>
          <w:rFonts w:eastAsia="標楷體"/>
          <w:sz w:val="28"/>
          <w:szCs w:val="28"/>
        </w:rPr>
        <w:t>75</w:t>
      </w:r>
      <w:r w:rsidRPr="00AE0D77">
        <w:rPr>
          <w:rFonts w:eastAsia="標楷體"/>
          <w:sz w:val="28"/>
          <w:szCs w:val="28"/>
        </w:rPr>
        <w:t>%</w:t>
      </w:r>
      <w:r w:rsidRPr="00AE0D77">
        <w:rPr>
          <w:rFonts w:eastAsia="標楷體"/>
          <w:sz w:val="28"/>
          <w:szCs w:val="28"/>
        </w:rPr>
        <w:t>。</w:t>
      </w:r>
    </w:p>
    <w:p w:rsidR="00742CC2" w:rsidRPr="00AE0D77" w:rsidRDefault="00742CC2" w:rsidP="00742CC2">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－失業人數為</w:t>
      </w:r>
      <w:r w:rsidR="00C51A05" w:rsidRPr="00AE0D77">
        <w:rPr>
          <w:rFonts w:eastAsia="標楷體"/>
          <w:sz w:val="28"/>
          <w:szCs w:val="28"/>
        </w:rPr>
        <w:t>43.1</w:t>
      </w:r>
      <w:r w:rsidRPr="00AE0D77">
        <w:rPr>
          <w:rFonts w:eastAsia="標楷體"/>
          <w:sz w:val="28"/>
          <w:szCs w:val="28"/>
        </w:rPr>
        <w:t>萬人，失業率為</w:t>
      </w:r>
      <w:r w:rsidR="00C51A05" w:rsidRPr="00AE0D77">
        <w:rPr>
          <w:rFonts w:eastAsia="標楷體"/>
          <w:sz w:val="28"/>
          <w:szCs w:val="28"/>
        </w:rPr>
        <w:t>3.66</w:t>
      </w:r>
      <w:r w:rsidRPr="00AE0D77">
        <w:rPr>
          <w:rFonts w:eastAsia="標楷體"/>
          <w:sz w:val="28"/>
          <w:szCs w:val="28"/>
        </w:rPr>
        <w:t>%</w:t>
      </w:r>
      <w:r w:rsidRPr="00AE0D77">
        <w:rPr>
          <w:rFonts w:eastAsia="標楷體"/>
          <w:sz w:val="28"/>
          <w:szCs w:val="28"/>
        </w:rPr>
        <w:t>，較上年同月</w:t>
      </w:r>
      <w:r w:rsidR="00C51A05" w:rsidRPr="00AE0D77">
        <w:rPr>
          <w:rFonts w:eastAsia="標楷體"/>
          <w:sz w:val="28"/>
          <w:szCs w:val="28"/>
        </w:rPr>
        <w:t>下降</w:t>
      </w:r>
      <w:r w:rsidR="00C51A05" w:rsidRPr="00AE0D77">
        <w:rPr>
          <w:rFonts w:eastAsia="標楷體"/>
          <w:sz w:val="28"/>
          <w:szCs w:val="28"/>
        </w:rPr>
        <w:t>0.18</w:t>
      </w:r>
      <w:r w:rsidRPr="00AE0D77">
        <w:rPr>
          <w:rFonts w:eastAsia="標楷體"/>
          <w:sz w:val="28"/>
          <w:szCs w:val="28"/>
        </w:rPr>
        <w:t>個百分點。</w:t>
      </w:r>
    </w:p>
    <w:p w:rsidR="00742CC2" w:rsidRPr="00AE0D77" w:rsidRDefault="00742CC2" w:rsidP="00742CC2">
      <w:pPr>
        <w:snapToGrid w:val="0"/>
        <w:spacing w:line="300" w:lineRule="auto"/>
        <w:ind w:leftChars="119" w:left="569" w:rightChars="18" w:right="43" w:hangingChars="101" w:hanging="283"/>
        <w:jc w:val="both"/>
        <w:rPr>
          <w:rFonts w:eastAsia="標楷體"/>
          <w:sz w:val="28"/>
          <w:szCs w:val="28"/>
        </w:rPr>
      </w:pPr>
      <w:r w:rsidRPr="00AE0D77">
        <w:rPr>
          <w:rFonts w:eastAsia="標楷體"/>
          <w:sz w:val="28"/>
          <w:szCs w:val="28"/>
        </w:rPr>
        <w:t>－就業結構：農業</w:t>
      </w:r>
      <w:r w:rsidRPr="00AE0D77">
        <w:rPr>
          <w:rFonts w:eastAsia="標楷體"/>
          <w:sz w:val="28"/>
          <w:szCs w:val="28"/>
        </w:rPr>
        <w:t>55.</w:t>
      </w:r>
      <w:r w:rsidR="00C51A05" w:rsidRPr="00AE0D77">
        <w:rPr>
          <w:rFonts w:eastAsia="標楷體"/>
          <w:sz w:val="28"/>
          <w:szCs w:val="28"/>
        </w:rPr>
        <w:t>5</w:t>
      </w:r>
      <w:r w:rsidRPr="00AE0D77">
        <w:rPr>
          <w:rFonts w:eastAsia="標楷體"/>
          <w:sz w:val="28"/>
          <w:szCs w:val="28"/>
        </w:rPr>
        <w:t>萬人</w:t>
      </w:r>
      <w:r w:rsidRPr="00AE0D77">
        <w:rPr>
          <w:rFonts w:eastAsia="標楷體"/>
          <w:sz w:val="28"/>
          <w:szCs w:val="28"/>
        </w:rPr>
        <w:t>(</w:t>
      </w:r>
      <w:r w:rsidRPr="00AE0D77">
        <w:rPr>
          <w:rFonts w:eastAsia="標楷體"/>
          <w:sz w:val="28"/>
          <w:szCs w:val="28"/>
        </w:rPr>
        <w:t>占</w:t>
      </w:r>
      <w:r w:rsidRPr="00AE0D77">
        <w:rPr>
          <w:rFonts w:eastAsia="標楷體"/>
          <w:sz w:val="28"/>
          <w:szCs w:val="28"/>
        </w:rPr>
        <w:t>4.9</w:t>
      </w:r>
      <w:r w:rsidR="005B4A3C" w:rsidRPr="00AE0D77">
        <w:rPr>
          <w:rFonts w:eastAsia="標楷體"/>
          <w:sz w:val="28"/>
          <w:szCs w:val="28"/>
        </w:rPr>
        <w:t>0</w:t>
      </w:r>
      <w:r w:rsidRPr="00AE0D77">
        <w:rPr>
          <w:rFonts w:eastAsia="標楷體"/>
          <w:sz w:val="28"/>
          <w:szCs w:val="28"/>
        </w:rPr>
        <w:t>%)</w:t>
      </w:r>
      <w:r w:rsidRPr="00AE0D77">
        <w:rPr>
          <w:rFonts w:eastAsia="標楷體"/>
          <w:sz w:val="28"/>
          <w:szCs w:val="28"/>
        </w:rPr>
        <w:t>，工業</w:t>
      </w:r>
      <w:r w:rsidRPr="00AE0D77">
        <w:rPr>
          <w:rFonts w:eastAsia="標楷體"/>
          <w:sz w:val="28"/>
          <w:szCs w:val="28"/>
        </w:rPr>
        <w:t>40</w:t>
      </w:r>
      <w:r w:rsidR="005B4A3C" w:rsidRPr="00AE0D77">
        <w:rPr>
          <w:rFonts w:eastAsia="標楷體"/>
          <w:sz w:val="28"/>
          <w:szCs w:val="28"/>
        </w:rPr>
        <w:t>5.5</w:t>
      </w:r>
      <w:r w:rsidRPr="00AE0D77">
        <w:rPr>
          <w:rFonts w:eastAsia="標楷體"/>
          <w:sz w:val="28"/>
          <w:szCs w:val="28"/>
        </w:rPr>
        <w:t>萬人</w:t>
      </w:r>
      <w:r w:rsidRPr="00AE0D77">
        <w:rPr>
          <w:rFonts w:eastAsia="標楷體"/>
          <w:sz w:val="28"/>
          <w:szCs w:val="28"/>
        </w:rPr>
        <w:t>(</w:t>
      </w:r>
      <w:r w:rsidRPr="00AE0D77">
        <w:rPr>
          <w:rFonts w:eastAsia="標楷體"/>
          <w:sz w:val="28"/>
          <w:szCs w:val="28"/>
        </w:rPr>
        <w:t>占</w:t>
      </w:r>
      <w:r w:rsidRPr="00AE0D77">
        <w:rPr>
          <w:rFonts w:eastAsia="標楷體"/>
          <w:sz w:val="28"/>
          <w:szCs w:val="28"/>
        </w:rPr>
        <w:t>35.</w:t>
      </w:r>
      <w:r w:rsidR="005B4A3C" w:rsidRPr="00AE0D77">
        <w:rPr>
          <w:rFonts w:eastAsia="標楷體"/>
          <w:sz w:val="28"/>
          <w:szCs w:val="28"/>
        </w:rPr>
        <w:t>7</w:t>
      </w:r>
      <w:r w:rsidRPr="00AE0D77">
        <w:rPr>
          <w:rFonts w:eastAsia="標楷體"/>
          <w:sz w:val="28"/>
          <w:szCs w:val="28"/>
        </w:rPr>
        <w:t>9%)</w:t>
      </w:r>
      <w:r w:rsidRPr="00AE0D77">
        <w:rPr>
          <w:rFonts w:eastAsia="標楷體"/>
          <w:sz w:val="28"/>
          <w:szCs w:val="28"/>
        </w:rPr>
        <w:t>，服務業</w:t>
      </w:r>
      <w:r w:rsidRPr="00AE0D77">
        <w:rPr>
          <w:rFonts w:eastAsia="標楷體"/>
          <w:sz w:val="28"/>
          <w:szCs w:val="28"/>
        </w:rPr>
        <w:t>6</w:t>
      </w:r>
      <w:r w:rsidR="005B4A3C" w:rsidRPr="00AE0D77">
        <w:rPr>
          <w:rFonts w:eastAsia="標楷體"/>
          <w:sz w:val="28"/>
          <w:szCs w:val="28"/>
        </w:rPr>
        <w:t>72.0</w:t>
      </w:r>
      <w:r w:rsidRPr="00AE0D77">
        <w:rPr>
          <w:rFonts w:eastAsia="標楷體"/>
          <w:sz w:val="28"/>
          <w:szCs w:val="28"/>
        </w:rPr>
        <w:t>萬人</w:t>
      </w:r>
      <w:r w:rsidRPr="00AE0D77">
        <w:rPr>
          <w:rFonts w:eastAsia="標楷體"/>
          <w:sz w:val="28"/>
          <w:szCs w:val="28"/>
        </w:rPr>
        <w:t>(</w:t>
      </w:r>
      <w:r w:rsidRPr="00AE0D77">
        <w:rPr>
          <w:rFonts w:eastAsia="標楷體"/>
          <w:sz w:val="28"/>
          <w:szCs w:val="28"/>
        </w:rPr>
        <w:t>占</w:t>
      </w:r>
      <w:r w:rsidRPr="00AE0D77">
        <w:rPr>
          <w:rFonts w:eastAsia="標楷體"/>
          <w:sz w:val="28"/>
          <w:szCs w:val="28"/>
        </w:rPr>
        <w:t>59.</w:t>
      </w:r>
      <w:r w:rsidR="005B4A3C" w:rsidRPr="00AE0D77">
        <w:rPr>
          <w:rFonts w:eastAsia="標楷體"/>
          <w:sz w:val="28"/>
          <w:szCs w:val="28"/>
        </w:rPr>
        <w:t>41</w:t>
      </w:r>
      <w:r w:rsidRPr="00AE0D77">
        <w:rPr>
          <w:rFonts w:eastAsia="標楷體"/>
          <w:sz w:val="28"/>
          <w:szCs w:val="28"/>
        </w:rPr>
        <w:t>%)</w:t>
      </w:r>
      <w:r w:rsidRPr="00AE0D77">
        <w:rPr>
          <w:rFonts w:eastAsia="標楷體"/>
          <w:sz w:val="28"/>
          <w:szCs w:val="28"/>
        </w:rPr>
        <w:t>。</w:t>
      </w:r>
    </w:p>
    <w:p w:rsidR="00742CC2" w:rsidRPr="00AE0D77" w:rsidRDefault="00742CC2" w:rsidP="00742CC2">
      <w:pPr>
        <w:snapToGrid w:val="0"/>
        <w:spacing w:beforeLines="50" w:before="180" w:line="300" w:lineRule="auto"/>
        <w:ind w:rightChars="-511" w:right="-1226"/>
        <w:jc w:val="center"/>
        <w:rPr>
          <w:rFonts w:eastAsia="標楷體"/>
          <w:szCs w:val="28"/>
        </w:rPr>
      </w:pPr>
      <w:r w:rsidRPr="00AE0D77">
        <w:rPr>
          <w:rFonts w:eastAsia="標楷體"/>
          <w:b/>
          <w:bCs/>
          <w:sz w:val="28"/>
        </w:rPr>
        <w:t>表</w:t>
      </w:r>
      <w:r w:rsidRPr="00AE0D77">
        <w:rPr>
          <w:rFonts w:eastAsia="標楷體"/>
          <w:b/>
          <w:bCs/>
          <w:sz w:val="28"/>
        </w:rPr>
        <w:t xml:space="preserve"> 2-9-1  </w:t>
      </w:r>
      <w:r w:rsidRPr="00AE0D77">
        <w:rPr>
          <w:rFonts w:eastAsia="標楷體"/>
          <w:b/>
          <w:bCs/>
          <w:sz w:val="28"/>
        </w:rPr>
        <w:t>就業市場相關指標</w:t>
      </w:r>
      <w:r w:rsidRPr="00AE0D77">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742CC2" w:rsidRPr="00AE0D77" w:rsidTr="0099145A">
        <w:trPr>
          <w:cantSplit/>
          <w:jc w:val="center"/>
        </w:trPr>
        <w:tc>
          <w:tcPr>
            <w:tcW w:w="1514" w:type="dxa"/>
            <w:vMerge w:val="restart"/>
            <w:tcBorders>
              <w:right w:val="single" w:sz="4" w:space="0" w:color="auto"/>
            </w:tcBorders>
            <w:vAlign w:val="center"/>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年</w:t>
            </w:r>
            <w:r w:rsidRPr="00AE0D77">
              <w:rPr>
                <w:rFonts w:eastAsia="標楷體"/>
                <w:spacing w:val="-20"/>
              </w:rPr>
              <w:t>(</w:t>
            </w:r>
            <w:r w:rsidRPr="00AE0D77">
              <w:rPr>
                <w:rFonts w:eastAsia="標楷體"/>
                <w:spacing w:val="-20"/>
              </w:rPr>
              <w:t>月</w:t>
            </w:r>
            <w:r w:rsidRPr="00AE0D77">
              <w:rPr>
                <w:rFonts w:eastAsia="標楷體"/>
                <w:spacing w:val="-20"/>
              </w:rPr>
              <w:t>)</w:t>
            </w:r>
          </w:p>
        </w:tc>
        <w:tc>
          <w:tcPr>
            <w:tcW w:w="1983" w:type="dxa"/>
            <w:gridSpan w:val="3"/>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勞動力</w:t>
            </w:r>
            <w:r w:rsidRPr="00AE0D77">
              <w:rPr>
                <w:rFonts w:eastAsia="標楷體"/>
                <w:spacing w:val="-20"/>
              </w:rPr>
              <w:t>(</w:t>
            </w:r>
            <w:r w:rsidRPr="00AE0D77">
              <w:rPr>
                <w:rFonts w:eastAsia="標楷體"/>
                <w:spacing w:val="-20"/>
              </w:rPr>
              <w:t>萬人</w:t>
            </w:r>
            <w:r w:rsidRPr="00AE0D77">
              <w:rPr>
                <w:rFonts w:eastAsia="標楷體"/>
                <w:spacing w:val="-20"/>
              </w:rPr>
              <w:t>)</w:t>
            </w:r>
          </w:p>
        </w:tc>
        <w:tc>
          <w:tcPr>
            <w:tcW w:w="684" w:type="dxa"/>
            <w:vMerge w:val="restart"/>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勞動力參與率</w:t>
            </w:r>
            <w:r w:rsidRPr="00AE0D77">
              <w:rPr>
                <w:rFonts w:eastAsia="標楷體"/>
                <w:spacing w:val="-20"/>
              </w:rPr>
              <w:t>(%)</w:t>
            </w:r>
          </w:p>
        </w:tc>
        <w:tc>
          <w:tcPr>
            <w:tcW w:w="2590" w:type="dxa"/>
            <w:gridSpan w:val="4"/>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就業者結構</w:t>
            </w:r>
            <w:r w:rsidRPr="00AE0D77">
              <w:rPr>
                <w:rFonts w:eastAsia="標楷體"/>
                <w:spacing w:val="-20"/>
              </w:rPr>
              <w:t xml:space="preserve"> (</w:t>
            </w:r>
            <w:r w:rsidRPr="00AE0D77">
              <w:rPr>
                <w:rFonts w:eastAsia="標楷體"/>
                <w:spacing w:val="-20"/>
                <w:szCs w:val="28"/>
              </w:rPr>
              <w:t>萬人</w:t>
            </w:r>
            <w:r w:rsidRPr="00AE0D77">
              <w:rPr>
                <w:rFonts w:eastAsia="標楷體"/>
                <w:spacing w:val="-20"/>
              </w:rPr>
              <w:t>)</w:t>
            </w:r>
          </w:p>
        </w:tc>
        <w:tc>
          <w:tcPr>
            <w:tcW w:w="712"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失業率</w:t>
            </w:r>
          </w:p>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w:t>
            </w:r>
          </w:p>
        </w:tc>
        <w:tc>
          <w:tcPr>
            <w:tcW w:w="2232" w:type="dxa"/>
            <w:gridSpan w:val="4"/>
            <w:tcBorders>
              <w:lef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失業率按年齡分</w:t>
            </w:r>
            <w:r w:rsidRPr="00AE0D77">
              <w:rPr>
                <w:rFonts w:eastAsia="標楷體"/>
                <w:spacing w:val="-20"/>
              </w:rPr>
              <w:t>(%)</w:t>
            </w:r>
          </w:p>
        </w:tc>
      </w:tr>
      <w:tr w:rsidR="00742CC2" w:rsidRPr="00AE0D77" w:rsidTr="0099145A">
        <w:trPr>
          <w:cantSplit/>
          <w:trHeight w:val="134"/>
          <w:jc w:val="center"/>
        </w:trPr>
        <w:tc>
          <w:tcPr>
            <w:tcW w:w="1514" w:type="dxa"/>
            <w:vMerge/>
            <w:tcBorders>
              <w:right w:val="single" w:sz="4" w:space="0" w:color="auto"/>
            </w:tcBorders>
          </w:tcPr>
          <w:p w:rsidR="00742CC2" w:rsidRPr="00AE0D77" w:rsidRDefault="00742CC2" w:rsidP="0099145A">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合計</w:t>
            </w:r>
          </w:p>
        </w:tc>
        <w:tc>
          <w:tcPr>
            <w:tcW w:w="726"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就業者</w:t>
            </w:r>
          </w:p>
        </w:tc>
        <w:tc>
          <w:tcPr>
            <w:tcW w:w="624"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失業者</w:t>
            </w:r>
          </w:p>
        </w:tc>
        <w:tc>
          <w:tcPr>
            <w:tcW w:w="684" w:type="dxa"/>
            <w:vMerge/>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農業</w:t>
            </w:r>
          </w:p>
        </w:tc>
        <w:tc>
          <w:tcPr>
            <w:tcW w:w="651" w:type="dxa"/>
            <w:vMerge w:val="restart"/>
            <w:tcBorders>
              <w:left w:val="single" w:sz="4" w:space="0" w:color="auto"/>
              <w:right w:val="nil"/>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工業</w:t>
            </w:r>
          </w:p>
        </w:tc>
        <w:tc>
          <w:tcPr>
            <w:tcW w:w="742" w:type="dxa"/>
            <w:tcBorders>
              <w:left w:val="nil"/>
              <w:right w:val="single" w:sz="4" w:space="0" w:color="auto"/>
            </w:tcBorders>
          </w:tcPr>
          <w:p w:rsidR="00742CC2" w:rsidRPr="00AE0D77" w:rsidRDefault="00742CC2" w:rsidP="0099145A">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服務業</w:t>
            </w:r>
          </w:p>
        </w:tc>
        <w:tc>
          <w:tcPr>
            <w:tcW w:w="712" w:type="dxa"/>
            <w:vMerge/>
            <w:tcBorders>
              <w:left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15-24</w:t>
            </w:r>
            <w:r w:rsidRPr="00AE0D77">
              <w:rPr>
                <w:rFonts w:eastAsia="標楷體"/>
                <w:spacing w:val="-20"/>
              </w:rPr>
              <w:t>歲</w:t>
            </w:r>
          </w:p>
        </w:tc>
        <w:tc>
          <w:tcPr>
            <w:tcW w:w="742" w:type="dxa"/>
            <w:vMerge w:val="restart"/>
            <w:tcBorders>
              <w:left w:val="single" w:sz="4" w:space="0" w:color="auto"/>
              <w:righ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25-44</w:t>
            </w:r>
            <w:r w:rsidRPr="00AE0D77">
              <w:rPr>
                <w:rFonts w:eastAsia="標楷體"/>
                <w:spacing w:val="-20"/>
              </w:rPr>
              <w:t>歲</w:t>
            </w:r>
          </w:p>
        </w:tc>
        <w:tc>
          <w:tcPr>
            <w:tcW w:w="742" w:type="dxa"/>
            <w:vMerge w:val="restart"/>
            <w:tcBorders>
              <w:left w:val="single" w:sz="4" w:space="0" w:color="auto"/>
            </w:tcBorders>
            <w:vAlign w:val="center"/>
          </w:tcPr>
          <w:p w:rsidR="00742CC2" w:rsidRPr="00AE0D77" w:rsidRDefault="00742CC2" w:rsidP="0099145A">
            <w:pPr>
              <w:snapToGrid w:val="0"/>
              <w:spacing w:line="320" w:lineRule="exact"/>
              <w:jc w:val="center"/>
              <w:rPr>
                <w:rFonts w:eastAsia="標楷體"/>
                <w:spacing w:val="-20"/>
              </w:rPr>
            </w:pPr>
            <w:r w:rsidRPr="00AE0D77">
              <w:rPr>
                <w:rFonts w:eastAsia="標楷體"/>
                <w:spacing w:val="-20"/>
              </w:rPr>
              <w:t>45-64</w:t>
            </w:r>
            <w:r w:rsidRPr="00AE0D77">
              <w:rPr>
                <w:rFonts w:eastAsia="標楷體"/>
                <w:spacing w:val="-20"/>
              </w:rPr>
              <w:t>歲</w:t>
            </w:r>
          </w:p>
        </w:tc>
      </w:tr>
      <w:tr w:rsidR="00742CC2" w:rsidRPr="00AE0D77" w:rsidTr="0099145A">
        <w:trPr>
          <w:cantSplit/>
          <w:jc w:val="center"/>
        </w:trPr>
        <w:tc>
          <w:tcPr>
            <w:tcW w:w="1514" w:type="dxa"/>
            <w:vMerge/>
            <w:tcBorders>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b/>
                <w:bCs/>
                <w:spacing w:val="-20"/>
              </w:rPr>
            </w:pPr>
            <w:r w:rsidRPr="00AE0D77">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742CC2" w:rsidRPr="00AE0D77" w:rsidRDefault="00742CC2" w:rsidP="0099145A">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742CC2" w:rsidRPr="00AE0D77" w:rsidRDefault="00742CC2" w:rsidP="0099145A">
            <w:pPr>
              <w:snapToGrid w:val="0"/>
              <w:spacing w:line="320" w:lineRule="exact"/>
              <w:jc w:val="center"/>
              <w:rPr>
                <w:rFonts w:eastAsia="標楷體"/>
                <w:spacing w:val="-20"/>
              </w:rPr>
            </w:pP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jc w:val="both"/>
              <w:rPr>
                <w:rFonts w:eastAsia="標楷體"/>
              </w:rPr>
            </w:pPr>
            <w:r w:rsidRPr="00AE0D77">
              <w:rPr>
                <w:rFonts w:eastAsia="標楷體"/>
                <w:b/>
                <w:bCs/>
              </w:rPr>
              <w:t xml:space="preserve"> 101</w:t>
            </w:r>
            <w:r w:rsidRPr="00AE0D77">
              <w:rPr>
                <w:rFonts w:eastAsia="標楷體"/>
                <w:b/>
                <w:bCs/>
              </w:rPr>
              <w:t>年</w:t>
            </w:r>
          </w:p>
        </w:tc>
        <w:tc>
          <w:tcPr>
            <w:tcW w:w="633" w:type="dxa"/>
            <w:tcBorders>
              <w:top w:val="nil"/>
              <w:left w:val="single" w:sz="4" w:space="0" w:color="auto"/>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1,134.1</w:t>
            </w:r>
          </w:p>
        </w:tc>
        <w:tc>
          <w:tcPr>
            <w:tcW w:w="726"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1,086.0</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48.1</w:t>
            </w:r>
          </w:p>
        </w:tc>
        <w:tc>
          <w:tcPr>
            <w:tcW w:w="68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58.35</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54.4</w:t>
            </w:r>
          </w:p>
        </w:tc>
        <w:tc>
          <w:tcPr>
            <w:tcW w:w="651"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393.5</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297.5</w:t>
            </w:r>
          </w:p>
        </w:tc>
        <w:tc>
          <w:tcPr>
            <w:tcW w:w="655"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638.1</w:t>
            </w:r>
          </w:p>
        </w:tc>
        <w:tc>
          <w:tcPr>
            <w:tcW w:w="71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4.24</w:t>
            </w:r>
          </w:p>
        </w:tc>
        <w:tc>
          <w:tcPr>
            <w:tcW w:w="74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12.66</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4.38</w:t>
            </w:r>
          </w:p>
        </w:tc>
        <w:tc>
          <w:tcPr>
            <w:tcW w:w="742" w:type="dxa"/>
            <w:tcBorders>
              <w:top w:val="nil"/>
              <w:left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2.31</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ind w:firstLineChars="50" w:firstLine="120"/>
              <w:rPr>
                <w:rFonts w:eastAsia="標楷體"/>
                <w:b/>
              </w:rPr>
            </w:pPr>
            <w:r w:rsidRPr="00AE0D77">
              <w:rPr>
                <w:rFonts w:eastAsia="標楷體"/>
                <w:b/>
              </w:rPr>
              <w:t>102</w:t>
            </w:r>
            <w:r w:rsidRPr="00AE0D77">
              <w:rPr>
                <w:rFonts w:eastAsia="標楷體"/>
                <w:b/>
              </w:rPr>
              <w:t>年</w:t>
            </w:r>
          </w:p>
        </w:tc>
        <w:tc>
          <w:tcPr>
            <w:tcW w:w="633" w:type="dxa"/>
            <w:tcBorders>
              <w:top w:val="nil"/>
              <w:left w:val="single" w:sz="4" w:space="0" w:color="auto"/>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1,144.5</w:t>
            </w:r>
          </w:p>
        </w:tc>
        <w:tc>
          <w:tcPr>
            <w:tcW w:w="726"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1,096.7</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47.8</w:t>
            </w:r>
          </w:p>
        </w:tc>
        <w:tc>
          <w:tcPr>
            <w:tcW w:w="68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58.43</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54.4</w:t>
            </w:r>
          </w:p>
        </w:tc>
        <w:tc>
          <w:tcPr>
            <w:tcW w:w="651"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396.5</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298.8</w:t>
            </w:r>
          </w:p>
        </w:tc>
        <w:tc>
          <w:tcPr>
            <w:tcW w:w="655"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645.8</w:t>
            </w:r>
          </w:p>
        </w:tc>
        <w:tc>
          <w:tcPr>
            <w:tcW w:w="71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4.18</w:t>
            </w:r>
          </w:p>
        </w:tc>
        <w:tc>
          <w:tcPr>
            <w:tcW w:w="74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13.17</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4.27</w:t>
            </w:r>
          </w:p>
        </w:tc>
        <w:tc>
          <w:tcPr>
            <w:tcW w:w="742" w:type="dxa"/>
            <w:tcBorders>
              <w:top w:val="nil"/>
              <w:left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2.25</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ind w:firstLineChars="50" w:firstLine="120"/>
              <w:rPr>
                <w:rFonts w:eastAsia="標楷體"/>
              </w:rPr>
            </w:pPr>
            <w:r w:rsidRPr="00AE0D77">
              <w:rPr>
                <w:rFonts w:eastAsia="標楷體"/>
                <w:b/>
              </w:rPr>
              <w:t>103</w:t>
            </w:r>
            <w:r w:rsidRPr="00AE0D77">
              <w:rPr>
                <w:rFonts w:eastAsia="標楷體"/>
                <w:b/>
                <w:bCs/>
              </w:rPr>
              <w:t>年</w:t>
            </w:r>
          </w:p>
        </w:tc>
        <w:tc>
          <w:tcPr>
            <w:tcW w:w="633" w:type="dxa"/>
            <w:tcBorders>
              <w:top w:val="nil"/>
              <w:left w:val="single" w:sz="4" w:space="0" w:color="auto"/>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1,153.5</w:t>
            </w:r>
          </w:p>
        </w:tc>
        <w:tc>
          <w:tcPr>
            <w:tcW w:w="726"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1,107.9</w:t>
            </w:r>
          </w:p>
        </w:tc>
        <w:tc>
          <w:tcPr>
            <w:tcW w:w="624"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45.7</w:t>
            </w:r>
          </w:p>
        </w:tc>
        <w:tc>
          <w:tcPr>
            <w:tcW w:w="684"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58.54</w:t>
            </w:r>
          </w:p>
        </w:tc>
        <w:tc>
          <w:tcPr>
            <w:tcW w:w="54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54.8</w:t>
            </w:r>
          </w:p>
        </w:tc>
        <w:tc>
          <w:tcPr>
            <w:tcW w:w="651"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400.4</w:t>
            </w:r>
          </w:p>
        </w:tc>
        <w:tc>
          <w:tcPr>
            <w:tcW w:w="74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300.7</w:t>
            </w:r>
          </w:p>
        </w:tc>
        <w:tc>
          <w:tcPr>
            <w:tcW w:w="655"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652.6</w:t>
            </w:r>
          </w:p>
        </w:tc>
        <w:tc>
          <w:tcPr>
            <w:tcW w:w="71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3.96</w:t>
            </w:r>
          </w:p>
        </w:tc>
        <w:tc>
          <w:tcPr>
            <w:tcW w:w="748" w:type="dxa"/>
            <w:gridSpan w:val="2"/>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12.63</w:t>
            </w:r>
          </w:p>
        </w:tc>
        <w:tc>
          <w:tcPr>
            <w:tcW w:w="74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4.13</w:t>
            </w:r>
          </w:p>
        </w:tc>
        <w:tc>
          <w:tcPr>
            <w:tcW w:w="742" w:type="dxa"/>
            <w:tcBorders>
              <w:top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2.09</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ind w:firstLineChars="50" w:firstLine="120"/>
              <w:rPr>
                <w:rFonts w:eastAsia="標楷體"/>
              </w:rPr>
            </w:pPr>
            <w:r w:rsidRPr="00AE0D77">
              <w:rPr>
                <w:rFonts w:eastAsia="標楷體"/>
                <w:b/>
              </w:rPr>
              <w:t>104</w:t>
            </w:r>
            <w:r w:rsidRPr="00AE0D77">
              <w:rPr>
                <w:rFonts w:eastAsia="標楷體"/>
                <w:b/>
                <w:bCs/>
              </w:rPr>
              <w:t>年</w:t>
            </w:r>
          </w:p>
        </w:tc>
        <w:tc>
          <w:tcPr>
            <w:tcW w:w="633" w:type="dxa"/>
            <w:tcBorders>
              <w:top w:val="nil"/>
              <w:left w:val="single" w:sz="4" w:space="0" w:color="auto"/>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1,163.8</w:t>
            </w:r>
          </w:p>
        </w:tc>
        <w:tc>
          <w:tcPr>
            <w:tcW w:w="726"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1,119.8</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44.0</w:t>
            </w:r>
          </w:p>
        </w:tc>
        <w:tc>
          <w:tcPr>
            <w:tcW w:w="68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58.65</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55.5</w:t>
            </w:r>
          </w:p>
        </w:tc>
        <w:tc>
          <w:tcPr>
            <w:tcW w:w="651"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403.5</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302.4</w:t>
            </w:r>
          </w:p>
        </w:tc>
        <w:tc>
          <w:tcPr>
            <w:tcW w:w="655"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660.9</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3.78</w:t>
            </w:r>
          </w:p>
        </w:tc>
        <w:tc>
          <w:tcPr>
            <w:tcW w:w="72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12.05</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3.95</w:t>
            </w:r>
          </w:p>
        </w:tc>
        <w:tc>
          <w:tcPr>
            <w:tcW w:w="742" w:type="dxa"/>
            <w:tcBorders>
              <w:top w:val="nil"/>
              <w:left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1.99</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4F4AF1">
            <w:pPr>
              <w:snapToGrid w:val="0"/>
              <w:spacing w:line="320" w:lineRule="exact"/>
              <w:ind w:firstLineChars="50" w:firstLine="120"/>
              <w:rPr>
                <w:rFonts w:eastAsia="標楷體"/>
              </w:rPr>
            </w:pPr>
            <w:r w:rsidRPr="00AE0D77">
              <w:rPr>
                <w:rFonts w:eastAsia="標楷體"/>
                <w:b/>
              </w:rPr>
              <w:t>105</w:t>
            </w:r>
            <w:r w:rsidRPr="00AE0D77">
              <w:rPr>
                <w:rFonts w:eastAsia="標楷體"/>
                <w:b/>
                <w:bCs/>
              </w:rPr>
              <w:t>年</w:t>
            </w:r>
          </w:p>
        </w:tc>
        <w:tc>
          <w:tcPr>
            <w:tcW w:w="633" w:type="dxa"/>
            <w:tcBorders>
              <w:top w:val="nil"/>
              <w:left w:val="single" w:sz="4" w:space="0" w:color="auto"/>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1,172.7</w:t>
            </w:r>
          </w:p>
        </w:tc>
        <w:tc>
          <w:tcPr>
            <w:tcW w:w="726"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1,126.7</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46.0</w:t>
            </w:r>
          </w:p>
        </w:tc>
        <w:tc>
          <w:tcPr>
            <w:tcW w:w="68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58.75</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55.7</w:t>
            </w:r>
          </w:p>
        </w:tc>
        <w:tc>
          <w:tcPr>
            <w:tcW w:w="651"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404.3</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302.8</w:t>
            </w:r>
          </w:p>
        </w:tc>
        <w:tc>
          <w:tcPr>
            <w:tcW w:w="655"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666.7</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3.92</w:t>
            </w:r>
          </w:p>
        </w:tc>
        <w:tc>
          <w:tcPr>
            <w:tcW w:w="72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12.12</w:t>
            </w:r>
          </w:p>
        </w:tc>
        <w:tc>
          <w:tcPr>
            <w:tcW w:w="7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4.08</w:t>
            </w:r>
          </w:p>
        </w:tc>
        <w:tc>
          <w:tcPr>
            <w:tcW w:w="742" w:type="dxa"/>
            <w:tcBorders>
              <w:top w:val="nil"/>
              <w:left w:val="nil"/>
              <w:bottom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2.15</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5</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1,169.5</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1,124.7</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44.9</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58.63</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55.9</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403.6</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302.3</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665.2</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3.84</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11.42</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4.04</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2.18</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6</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1,171.0</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1,125.1</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45.9</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58.68</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403.6</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302.2</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665.8</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3.92</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11.86</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4.04</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2.30</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7</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1,174.7</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1,127.5</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47.2</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58.84</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55.9</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404.4</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302.7</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667.2</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4.02</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12.45</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4.10</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2.30</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8</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1,177.0</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1,129.0</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48.0</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58.93</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55.8</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405.0</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303.1</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668.1</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4.08</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12.82</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4.17</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2.26</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9</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1,174.5</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1,127.6</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46.9</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58.79</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404.7</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303.2</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667.1</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3.99</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12.52</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4.13</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2.17</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10</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1,175.5</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1,129.1</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46.4</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58.81</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405.0</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303.5</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668.4</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3.95</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12.44</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4.10</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2.12</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11</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1,176.2</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1,130.7</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45.5</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58.82</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405.3</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303.6</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669.7</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3.87</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12.31</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4.02</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2.05</w:t>
            </w:r>
          </w:p>
        </w:tc>
      </w:tr>
      <w:tr w:rsidR="005B4A3C" w:rsidRPr="00AE0D77" w:rsidTr="0099145A">
        <w:trPr>
          <w:trHeight w:val="74"/>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12</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1,176.1</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1,131.5</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44.6</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58.80</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405.4</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303.7</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670.4</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3.79</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12.10</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3.97</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1.96</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5B4A3C">
            <w:pPr>
              <w:snapToGrid w:val="0"/>
              <w:spacing w:line="320" w:lineRule="exact"/>
              <w:ind w:firstLineChars="50" w:firstLine="120"/>
              <w:rPr>
                <w:rFonts w:eastAsia="標楷體"/>
              </w:rPr>
            </w:pPr>
            <w:r w:rsidRPr="00AE0D77">
              <w:rPr>
                <w:rFonts w:eastAsia="標楷體"/>
                <w:b/>
              </w:rPr>
              <w:t>106</w:t>
            </w:r>
            <w:r w:rsidRPr="00AE0D77">
              <w:rPr>
                <w:rFonts w:eastAsia="標楷體"/>
                <w:b/>
                <w:bCs/>
              </w:rPr>
              <w:t>年</w:t>
            </w:r>
            <w:r w:rsidRPr="00AE0D77">
              <w:rPr>
                <w:rFonts w:eastAsia="標楷體"/>
                <w:b/>
                <w:bCs/>
              </w:rPr>
              <w:t>1~5</w:t>
            </w:r>
            <w:r w:rsidRPr="00AE0D77">
              <w:rPr>
                <w:rFonts w:eastAsia="標楷體"/>
                <w:b/>
                <w:bCs/>
              </w:rPr>
              <w:t>月</w:t>
            </w:r>
          </w:p>
        </w:tc>
        <w:tc>
          <w:tcPr>
            <w:tcW w:w="633" w:type="dxa"/>
            <w:tcBorders>
              <w:top w:val="nil"/>
              <w:left w:val="single" w:sz="4" w:space="0" w:color="auto"/>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1,176.0</w:t>
            </w:r>
          </w:p>
        </w:tc>
        <w:tc>
          <w:tcPr>
            <w:tcW w:w="726"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1,131.9</w:t>
            </w:r>
          </w:p>
        </w:tc>
        <w:tc>
          <w:tcPr>
            <w:tcW w:w="62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44.1</w:t>
            </w:r>
          </w:p>
        </w:tc>
        <w:tc>
          <w:tcPr>
            <w:tcW w:w="684"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58.73</w:t>
            </w:r>
          </w:p>
        </w:tc>
        <w:tc>
          <w:tcPr>
            <w:tcW w:w="542"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55.6</w:t>
            </w:r>
          </w:p>
        </w:tc>
        <w:tc>
          <w:tcPr>
            <w:tcW w:w="651" w:type="dxa"/>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405.4</w:t>
            </w:r>
          </w:p>
        </w:tc>
        <w:tc>
          <w:tcPr>
            <w:tcW w:w="742" w:type="dxa"/>
            <w:tcBorders>
              <w:top w:val="nil"/>
              <w:left w:val="nil"/>
              <w:bottom w:val="nil"/>
              <w:right w:val="nil"/>
            </w:tcBorders>
            <w:vAlign w:val="bottom"/>
          </w:tcPr>
          <w:p w:rsidR="005B4A3C" w:rsidRPr="00AE0D77" w:rsidRDefault="005B4A3C" w:rsidP="000C665D">
            <w:pPr>
              <w:snapToGrid w:val="0"/>
              <w:spacing w:line="320" w:lineRule="exact"/>
              <w:jc w:val="center"/>
              <w:rPr>
                <w:rFonts w:eastAsia="標楷體"/>
                <w:b/>
                <w:bCs/>
                <w:spacing w:val="-20"/>
              </w:rPr>
            </w:pPr>
            <w:r w:rsidRPr="00AE0D77">
              <w:rPr>
                <w:rFonts w:eastAsia="標楷體"/>
                <w:b/>
                <w:bCs/>
                <w:spacing w:val="-20"/>
              </w:rPr>
              <w:t>303.</w:t>
            </w:r>
            <w:r w:rsidR="000C665D" w:rsidRPr="00AE0D77">
              <w:rPr>
                <w:rFonts w:eastAsia="標楷體"/>
                <w:b/>
                <w:bCs/>
                <w:spacing w:val="-20"/>
              </w:rPr>
              <w:t>8</w:t>
            </w:r>
          </w:p>
        </w:tc>
        <w:tc>
          <w:tcPr>
            <w:tcW w:w="655" w:type="dxa"/>
            <w:tcBorders>
              <w:top w:val="nil"/>
              <w:left w:val="nil"/>
              <w:bottom w:val="nil"/>
              <w:right w:val="nil"/>
            </w:tcBorders>
            <w:vAlign w:val="bottom"/>
          </w:tcPr>
          <w:p w:rsidR="005B4A3C" w:rsidRPr="00AE0D77" w:rsidRDefault="005B4A3C" w:rsidP="000C665D">
            <w:pPr>
              <w:snapToGrid w:val="0"/>
              <w:spacing w:line="320" w:lineRule="exact"/>
              <w:jc w:val="center"/>
              <w:rPr>
                <w:rFonts w:eastAsia="標楷體"/>
                <w:b/>
                <w:bCs/>
                <w:spacing w:val="-20"/>
              </w:rPr>
            </w:pPr>
            <w:r w:rsidRPr="00AE0D77">
              <w:rPr>
                <w:rFonts w:eastAsia="標楷體"/>
                <w:b/>
                <w:bCs/>
                <w:spacing w:val="-20"/>
              </w:rPr>
              <w:t>670.</w:t>
            </w:r>
            <w:r w:rsidR="000C665D" w:rsidRPr="00AE0D77">
              <w:rPr>
                <w:rFonts w:eastAsia="標楷體"/>
                <w:b/>
                <w:bCs/>
                <w:spacing w:val="-20"/>
              </w:rPr>
              <w:t>9</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b/>
                <w:bCs/>
                <w:spacing w:val="-20"/>
              </w:rPr>
            </w:pPr>
            <w:r w:rsidRPr="00AE0D77">
              <w:rPr>
                <w:rFonts w:eastAsia="標楷體"/>
                <w:b/>
                <w:bCs/>
                <w:spacing w:val="-20"/>
              </w:rPr>
              <w:t>3.75</w:t>
            </w:r>
          </w:p>
        </w:tc>
        <w:tc>
          <w:tcPr>
            <w:tcW w:w="722" w:type="dxa"/>
            <w:tcBorders>
              <w:top w:val="nil"/>
              <w:left w:val="nil"/>
              <w:bottom w:val="nil"/>
              <w:right w:val="nil"/>
            </w:tcBorders>
            <w:vAlign w:val="bottom"/>
          </w:tcPr>
          <w:p w:rsidR="005B4A3C" w:rsidRPr="00AE0D77" w:rsidRDefault="005B4A3C" w:rsidP="00D17DC7">
            <w:pPr>
              <w:snapToGrid w:val="0"/>
              <w:spacing w:line="320" w:lineRule="exact"/>
              <w:jc w:val="center"/>
              <w:rPr>
                <w:rFonts w:eastAsia="標楷體"/>
                <w:b/>
                <w:bCs/>
                <w:spacing w:val="-20"/>
              </w:rPr>
            </w:pPr>
            <w:r w:rsidRPr="00AE0D77">
              <w:rPr>
                <w:rFonts w:eastAsia="標楷體"/>
                <w:b/>
                <w:bCs/>
                <w:spacing w:val="-20"/>
              </w:rPr>
              <w:t>11.</w:t>
            </w:r>
            <w:r w:rsidR="00D17DC7" w:rsidRPr="00AE0D77">
              <w:rPr>
                <w:rFonts w:eastAsia="標楷體"/>
                <w:b/>
                <w:bCs/>
                <w:spacing w:val="-20"/>
              </w:rPr>
              <w:t>86</w:t>
            </w:r>
          </w:p>
        </w:tc>
        <w:tc>
          <w:tcPr>
            <w:tcW w:w="742" w:type="dxa"/>
            <w:tcBorders>
              <w:top w:val="nil"/>
              <w:left w:val="nil"/>
              <w:bottom w:val="nil"/>
              <w:right w:val="nil"/>
            </w:tcBorders>
            <w:vAlign w:val="bottom"/>
          </w:tcPr>
          <w:p w:rsidR="005B4A3C" w:rsidRPr="00AE0D77" w:rsidRDefault="005B4A3C" w:rsidP="003D40AD">
            <w:pPr>
              <w:snapToGrid w:val="0"/>
              <w:spacing w:line="320" w:lineRule="exact"/>
              <w:jc w:val="center"/>
              <w:rPr>
                <w:rFonts w:eastAsia="標楷體"/>
                <w:b/>
                <w:bCs/>
                <w:spacing w:val="-20"/>
              </w:rPr>
            </w:pPr>
            <w:r w:rsidRPr="00AE0D77">
              <w:rPr>
                <w:rFonts w:eastAsia="標楷體"/>
                <w:b/>
                <w:bCs/>
                <w:spacing w:val="-20"/>
              </w:rPr>
              <w:t>3.</w:t>
            </w:r>
            <w:r w:rsidR="003D40AD" w:rsidRPr="00AE0D77">
              <w:rPr>
                <w:rFonts w:eastAsia="標楷體"/>
                <w:b/>
                <w:bCs/>
                <w:spacing w:val="-20"/>
              </w:rPr>
              <w:t>93</w:t>
            </w:r>
          </w:p>
        </w:tc>
        <w:tc>
          <w:tcPr>
            <w:tcW w:w="742" w:type="dxa"/>
            <w:tcBorders>
              <w:top w:val="nil"/>
              <w:left w:val="nil"/>
              <w:bottom w:val="nil"/>
            </w:tcBorders>
            <w:vAlign w:val="bottom"/>
          </w:tcPr>
          <w:p w:rsidR="005B4A3C" w:rsidRPr="00AE0D77" w:rsidRDefault="003D40AD" w:rsidP="004F4AF1">
            <w:pPr>
              <w:snapToGrid w:val="0"/>
              <w:spacing w:line="320" w:lineRule="exact"/>
              <w:jc w:val="center"/>
              <w:rPr>
                <w:rFonts w:eastAsia="標楷體"/>
                <w:b/>
                <w:bCs/>
                <w:spacing w:val="-20"/>
              </w:rPr>
            </w:pPr>
            <w:r w:rsidRPr="00AE0D77">
              <w:rPr>
                <w:rFonts w:eastAsia="標楷體"/>
                <w:b/>
                <w:bCs/>
                <w:spacing w:val="-20"/>
              </w:rPr>
              <w:t>1.98</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1</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1,176.5</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1,132.0</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44.5</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58.79</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405.6</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303.8</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670.8</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3.78</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12.01</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3.95</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1.99</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2</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1,176.0</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1,130.7</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45.3</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58.75</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405.4</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303.5</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669.7</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3.85</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12.18</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4.01</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2.07</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3</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1,175.8</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1,131.3</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44.5</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58.73</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55.7</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405.2</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303.6</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670.4</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3.78</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12.01</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3.95</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2.02</w:t>
            </w:r>
          </w:p>
        </w:tc>
      </w:tr>
      <w:tr w:rsidR="005B4A3C" w:rsidRPr="00AE0D77" w:rsidTr="0099145A">
        <w:trPr>
          <w:jc w:val="center"/>
        </w:trPr>
        <w:tc>
          <w:tcPr>
            <w:tcW w:w="1514" w:type="dxa"/>
            <w:tcBorders>
              <w:top w:val="nil"/>
              <w:bottom w:val="nil"/>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4</w:t>
            </w:r>
            <w:r w:rsidRPr="00AE0D77">
              <w:rPr>
                <w:rFonts w:eastAsia="標楷體"/>
              </w:rPr>
              <w:t>月</w:t>
            </w:r>
          </w:p>
        </w:tc>
        <w:tc>
          <w:tcPr>
            <w:tcW w:w="633" w:type="dxa"/>
            <w:tcBorders>
              <w:top w:val="nil"/>
              <w:left w:val="single" w:sz="4" w:space="0" w:color="auto"/>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1,175.7</w:t>
            </w:r>
          </w:p>
        </w:tc>
        <w:tc>
          <w:tcPr>
            <w:tcW w:w="726"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1,132.5</w:t>
            </w:r>
          </w:p>
        </w:tc>
        <w:tc>
          <w:tcPr>
            <w:tcW w:w="62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43.2</w:t>
            </w:r>
          </w:p>
        </w:tc>
        <w:tc>
          <w:tcPr>
            <w:tcW w:w="684"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58.70</w:t>
            </w:r>
          </w:p>
        </w:tc>
        <w:tc>
          <w:tcPr>
            <w:tcW w:w="5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55.6</w:t>
            </w:r>
          </w:p>
        </w:tc>
        <w:tc>
          <w:tcPr>
            <w:tcW w:w="651"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405.5</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304.0</w:t>
            </w:r>
          </w:p>
        </w:tc>
        <w:tc>
          <w:tcPr>
            <w:tcW w:w="655"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671.4</w:t>
            </w:r>
          </w:p>
        </w:tc>
        <w:tc>
          <w:tcPr>
            <w:tcW w:w="738" w:type="dxa"/>
            <w:gridSpan w:val="2"/>
            <w:tcBorders>
              <w:top w:val="nil"/>
              <w:left w:val="nil"/>
              <w:bottom w:val="nil"/>
              <w:right w:val="nil"/>
            </w:tcBorders>
            <w:vAlign w:val="bottom"/>
          </w:tcPr>
          <w:p w:rsidR="005B4A3C" w:rsidRPr="00AE0D77" w:rsidRDefault="005B4A3C" w:rsidP="004F4AF1">
            <w:pPr>
              <w:snapToGrid w:val="0"/>
              <w:spacing w:line="320" w:lineRule="exact"/>
              <w:jc w:val="center"/>
              <w:rPr>
                <w:rFonts w:eastAsia="標楷體"/>
                <w:snapToGrid w:val="0"/>
                <w:spacing w:val="-20"/>
              </w:rPr>
            </w:pPr>
            <w:r w:rsidRPr="00AE0D77">
              <w:rPr>
                <w:rFonts w:eastAsia="標楷體"/>
                <w:snapToGrid w:val="0"/>
                <w:spacing w:val="-20"/>
              </w:rPr>
              <w:t>3.67</w:t>
            </w:r>
          </w:p>
        </w:tc>
        <w:tc>
          <w:tcPr>
            <w:tcW w:w="72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11.62</w:t>
            </w:r>
          </w:p>
        </w:tc>
        <w:tc>
          <w:tcPr>
            <w:tcW w:w="742" w:type="dxa"/>
            <w:tcBorders>
              <w:top w:val="nil"/>
              <w:left w:val="nil"/>
              <w:bottom w:val="nil"/>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3.87</w:t>
            </w:r>
          </w:p>
        </w:tc>
        <w:tc>
          <w:tcPr>
            <w:tcW w:w="742" w:type="dxa"/>
            <w:tcBorders>
              <w:top w:val="nil"/>
              <w:left w:val="nil"/>
              <w:bottom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1.92</w:t>
            </w:r>
          </w:p>
        </w:tc>
      </w:tr>
      <w:tr w:rsidR="005B4A3C" w:rsidRPr="00AE0D77" w:rsidTr="0099145A">
        <w:trPr>
          <w:jc w:val="center"/>
        </w:trPr>
        <w:tc>
          <w:tcPr>
            <w:tcW w:w="1514" w:type="dxa"/>
            <w:tcBorders>
              <w:top w:val="nil"/>
              <w:bottom w:val="single" w:sz="4" w:space="0" w:color="auto"/>
              <w:right w:val="single" w:sz="4" w:space="0" w:color="auto"/>
            </w:tcBorders>
            <w:vAlign w:val="center"/>
          </w:tcPr>
          <w:p w:rsidR="005B4A3C" w:rsidRPr="00AE0D77" w:rsidRDefault="005B4A3C" w:rsidP="0099145A">
            <w:pPr>
              <w:snapToGrid w:val="0"/>
              <w:spacing w:line="320" w:lineRule="exact"/>
              <w:jc w:val="center"/>
              <w:rPr>
                <w:rFonts w:eastAsia="標楷體"/>
              </w:rPr>
            </w:pPr>
            <w:r w:rsidRPr="00AE0D77">
              <w:rPr>
                <w:rFonts w:eastAsia="標楷體"/>
              </w:rPr>
              <w:t>5</w:t>
            </w:r>
            <w:r w:rsidRPr="00AE0D77">
              <w:rPr>
                <w:rFonts w:eastAsia="標楷體"/>
              </w:rPr>
              <w:t>月</w:t>
            </w:r>
          </w:p>
        </w:tc>
        <w:tc>
          <w:tcPr>
            <w:tcW w:w="633" w:type="dxa"/>
            <w:tcBorders>
              <w:top w:val="nil"/>
              <w:left w:val="single" w:sz="4" w:space="0" w:color="auto"/>
              <w:bottom w:val="single" w:sz="4" w:space="0" w:color="auto"/>
              <w:right w:val="nil"/>
            </w:tcBorders>
            <w:vAlign w:val="center"/>
          </w:tcPr>
          <w:p w:rsidR="005B4A3C" w:rsidRPr="00AE0D77" w:rsidRDefault="005B4A3C" w:rsidP="005B4A3C">
            <w:pPr>
              <w:snapToGrid w:val="0"/>
              <w:spacing w:line="320" w:lineRule="exact"/>
              <w:jc w:val="center"/>
              <w:rPr>
                <w:rFonts w:eastAsia="標楷體"/>
                <w:spacing w:val="-20"/>
              </w:rPr>
            </w:pPr>
            <w:r w:rsidRPr="00AE0D77">
              <w:rPr>
                <w:rFonts w:eastAsia="標楷體"/>
                <w:spacing w:val="-20"/>
              </w:rPr>
              <w:t>1,176.2</w:t>
            </w:r>
          </w:p>
        </w:tc>
        <w:tc>
          <w:tcPr>
            <w:tcW w:w="726" w:type="dxa"/>
            <w:tcBorders>
              <w:top w:val="nil"/>
              <w:left w:val="nil"/>
              <w:bottom w:val="single" w:sz="4" w:space="0" w:color="auto"/>
              <w:right w:val="nil"/>
            </w:tcBorders>
            <w:vAlign w:val="center"/>
          </w:tcPr>
          <w:p w:rsidR="005B4A3C" w:rsidRPr="00AE0D77" w:rsidRDefault="005B4A3C" w:rsidP="005B4A3C">
            <w:pPr>
              <w:snapToGrid w:val="0"/>
              <w:spacing w:line="320" w:lineRule="exact"/>
              <w:jc w:val="center"/>
              <w:rPr>
                <w:rFonts w:eastAsia="標楷體"/>
                <w:spacing w:val="-20"/>
              </w:rPr>
            </w:pPr>
            <w:r w:rsidRPr="00AE0D77">
              <w:rPr>
                <w:rFonts w:eastAsia="標楷體"/>
                <w:spacing w:val="-20"/>
              </w:rPr>
              <w:t>1,133.1</w:t>
            </w:r>
          </w:p>
        </w:tc>
        <w:tc>
          <w:tcPr>
            <w:tcW w:w="624" w:type="dxa"/>
            <w:tcBorders>
              <w:top w:val="nil"/>
              <w:left w:val="nil"/>
              <w:bottom w:val="single" w:sz="4" w:space="0" w:color="auto"/>
              <w:right w:val="nil"/>
            </w:tcBorders>
            <w:vAlign w:val="center"/>
          </w:tcPr>
          <w:p w:rsidR="005B4A3C" w:rsidRPr="00AE0D77" w:rsidRDefault="005B4A3C" w:rsidP="005B4A3C">
            <w:pPr>
              <w:snapToGrid w:val="0"/>
              <w:spacing w:line="320" w:lineRule="exact"/>
              <w:jc w:val="center"/>
              <w:rPr>
                <w:rFonts w:eastAsia="標楷體"/>
                <w:spacing w:val="-20"/>
              </w:rPr>
            </w:pPr>
            <w:r w:rsidRPr="00AE0D77">
              <w:rPr>
                <w:rFonts w:eastAsia="標楷體"/>
                <w:spacing w:val="-20"/>
              </w:rPr>
              <w:t>43.1</w:t>
            </w:r>
          </w:p>
        </w:tc>
        <w:tc>
          <w:tcPr>
            <w:tcW w:w="684" w:type="dxa"/>
            <w:tcBorders>
              <w:top w:val="nil"/>
              <w:left w:val="nil"/>
              <w:bottom w:val="single" w:sz="4" w:space="0" w:color="auto"/>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58.70</w:t>
            </w:r>
          </w:p>
        </w:tc>
        <w:tc>
          <w:tcPr>
            <w:tcW w:w="542" w:type="dxa"/>
            <w:tcBorders>
              <w:top w:val="nil"/>
              <w:left w:val="nil"/>
              <w:bottom w:val="single" w:sz="4" w:space="0" w:color="auto"/>
              <w:right w:val="nil"/>
            </w:tcBorders>
            <w:vAlign w:val="center"/>
          </w:tcPr>
          <w:p w:rsidR="005B4A3C" w:rsidRPr="00AE0D77" w:rsidRDefault="005B4A3C" w:rsidP="000C665D">
            <w:pPr>
              <w:snapToGrid w:val="0"/>
              <w:spacing w:line="320" w:lineRule="exact"/>
              <w:jc w:val="center"/>
              <w:rPr>
                <w:rFonts w:eastAsia="標楷體"/>
                <w:spacing w:val="-20"/>
              </w:rPr>
            </w:pPr>
            <w:r w:rsidRPr="00AE0D77">
              <w:rPr>
                <w:rFonts w:eastAsia="標楷體"/>
                <w:spacing w:val="-20"/>
              </w:rPr>
              <w:t>55.</w:t>
            </w:r>
            <w:r w:rsidR="000C665D" w:rsidRPr="00AE0D77">
              <w:rPr>
                <w:rFonts w:eastAsia="標楷體"/>
                <w:spacing w:val="-20"/>
              </w:rPr>
              <w:t>5</w:t>
            </w:r>
          </w:p>
        </w:tc>
        <w:tc>
          <w:tcPr>
            <w:tcW w:w="651" w:type="dxa"/>
            <w:tcBorders>
              <w:top w:val="nil"/>
              <w:left w:val="nil"/>
              <w:bottom w:val="single" w:sz="4" w:space="0" w:color="auto"/>
              <w:right w:val="nil"/>
            </w:tcBorders>
            <w:vAlign w:val="center"/>
          </w:tcPr>
          <w:p w:rsidR="005B4A3C" w:rsidRPr="00AE0D77" w:rsidRDefault="005B4A3C" w:rsidP="000C665D">
            <w:pPr>
              <w:snapToGrid w:val="0"/>
              <w:spacing w:line="320" w:lineRule="exact"/>
              <w:jc w:val="center"/>
              <w:rPr>
                <w:rFonts w:eastAsia="標楷體"/>
                <w:spacing w:val="-20"/>
              </w:rPr>
            </w:pPr>
            <w:r w:rsidRPr="00AE0D77">
              <w:rPr>
                <w:rFonts w:eastAsia="標楷體"/>
                <w:spacing w:val="-20"/>
              </w:rPr>
              <w:t>40</w:t>
            </w:r>
            <w:r w:rsidR="000C665D" w:rsidRPr="00AE0D77">
              <w:rPr>
                <w:rFonts w:eastAsia="標楷體"/>
                <w:spacing w:val="-20"/>
              </w:rPr>
              <w:t>5.5</w:t>
            </w:r>
          </w:p>
        </w:tc>
        <w:tc>
          <w:tcPr>
            <w:tcW w:w="742" w:type="dxa"/>
            <w:tcBorders>
              <w:top w:val="nil"/>
              <w:left w:val="nil"/>
              <w:bottom w:val="single" w:sz="4" w:space="0" w:color="auto"/>
              <w:right w:val="nil"/>
            </w:tcBorders>
            <w:vAlign w:val="center"/>
          </w:tcPr>
          <w:p w:rsidR="005B4A3C" w:rsidRPr="00AE0D77" w:rsidRDefault="005B4A3C" w:rsidP="000C665D">
            <w:pPr>
              <w:snapToGrid w:val="0"/>
              <w:spacing w:line="320" w:lineRule="exact"/>
              <w:jc w:val="center"/>
              <w:rPr>
                <w:rFonts w:eastAsia="標楷體"/>
                <w:spacing w:val="-20"/>
              </w:rPr>
            </w:pPr>
            <w:r w:rsidRPr="00AE0D77">
              <w:rPr>
                <w:rFonts w:eastAsia="標楷體"/>
                <w:spacing w:val="-20"/>
              </w:rPr>
              <w:t>30</w:t>
            </w:r>
            <w:r w:rsidR="000C665D" w:rsidRPr="00AE0D77">
              <w:rPr>
                <w:rFonts w:eastAsia="標楷體"/>
                <w:spacing w:val="-20"/>
              </w:rPr>
              <w:t>3.9</w:t>
            </w:r>
          </w:p>
        </w:tc>
        <w:tc>
          <w:tcPr>
            <w:tcW w:w="655" w:type="dxa"/>
            <w:tcBorders>
              <w:top w:val="nil"/>
              <w:left w:val="nil"/>
              <w:bottom w:val="single" w:sz="4" w:space="0" w:color="auto"/>
              <w:right w:val="nil"/>
            </w:tcBorders>
            <w:vAlign w:val="center"/>
          </w:tcPr>
          <w:p w:rsidR="005B4A3C" w:rsidRPr="00AE0D77" w:rsidRDefault="005B4A3C" w:rsidP="000C665D">
            <w:pPr>
              <w:snapToGrid w:val="0"/>
              <w:spacing w:line="320" w:lineRule="exact"/>
              <w:jc w:val="center"/>
              <w:rPr>
                <w:rFonts w:eastAsia="標楷體"/>
                <w:spacing w:val="-20"/>
              </w:rPr>
            </w:pPr>
            <w:r w:rsidRPr="00AE0D77">
              <w:rPr>
                <w:rFonts w:eastAsia="標楷體"/>
                <w:spacing w:val="-20"/>
              </w:rPr>
              <w:t>6</w:t>
            </w:r>
            <w:r w:rsidR="000C665D" w:rsidRPr="00AE0D77">
              <w:rPr>
                <w:rFonts w:eastAsia="標楷體"/>
                <w:spacing w:val="-20"/>
              </w:rPr>
              <w:t>72.0</w:t>
            </w:r>
          </w:p>
        </w:tc>
        <w:tc>
          <w:tcPr>
            <w:tcW w:w="738" w:type="dxa"/>
            <w:gridSpan w:val="2"/>
            <w:tcBorders>
              <w:top w:val="nil"/>
              <w:left w:val="nil"/>
              <w:bottom w:val="single" w:sz="4" w:space="0" w:color="auto"/>
              <w:right w:val="nil"/>
            </w:tcBorders>
            <w:vAlign w:val="bottom"/>
          </w:tcPr>
          <w:p w:rsidR="005B4A3C" w:rsidRPr="00AE0D77" w:rsidRDefault="005B4A3C" w:rsidP="000C665D">
            <w:pPr>
              <w:snapToGrid w:val="0"/>
              <w:spacing w:line="320" w:lineRule="exact"/>
              <w:jc w:val="center"/>
              <w:rPr>
                <w:rFonts w:eastAsia="標楷體"/>
                <w:snapToGrid w:val="0"/>
                <w:spacing w:val="-20"/>
              </w:rPr>
            </w:pPr>
            <w:r w:rsidRPr="00AE0D77">
              <w:rPr>
                <w:rFonts w:eastAsia="標楷體"/>
                <w:snapToGrid w:val="0"/>
                <w:spacing w:val="-20"/>
              </w:rPr>
              <w:t>3.</w:t>
            </w:r>
            <w:r w:rsidR="000C665D" w:rsidRPr="00AE0D77">
              <w:rPr>
                <w:rFonts w:eastAsia="標楷體"/>
                <w:snapToGrid w:val="0"/>
                <w:spacing w:val="-20"/>
              </w:rPr>
              <w:t>66</w:t>
            </w:r>
          </w:p>
        </w:tc>
        <w:tc>
          <w:tcPr>
            <w:tcW w:w="722" w:type="dxa"/>
            <w:tcBorders>
              <w:top w:val="nil"/>
              <w:left w:val="nil"/>
              <w:bottom w:val="single" w:sz="4" w:space="0" w:color="auto"/>
              <w:right w:val="nil"/>
            </w:tcBorders>
            <w:vAlign w:val="center"/>
          </w:tcPr>
          <w:p w:rsidR="005B4A3C" w:rsidRPr="00AE0D77" w:rsidRDefault="005B4A3C" w:rsidP="004F4AF1">
            <w:pPr>
              <w:snapToGrid w:val="0"/>
              <w:spacing w:line="320" w:lineRule="exact"/>
              <w:jc w:val="center"/>
              <w:rPr>
                <w:rFonts w:eastAsia="標楷體"/>
                <w:spacing w:val="-20"/>
              </w:rPr>
            </w:pPr>
            <w:r w:rsidRPr="00AE0D77">
              <w:rPr>
                <w:rFonts w:eastAsia="標楷體"/>
                <w:spacing w:val="-20"/>
              </w:rPr>
              <w:t>11.4</w:t>
            </w:r>
            <w:r w:rsidR="00D17DC7" w:rsidRPr="00AE0D77">
              <w:rPr>
                <w:rFonts w:eastAsia="標楷體"/>
                <w:spacing w:val="-20"/>
              </w:rPr>
              <w:t>9</w:t>
            </w:r>
          </w:p>
        </w:tc>
        <w:tc>
          <w:tcPr>
            <w:tcW w:w="742" w:type="dxa"/>
            <w:tcBorders>
              <w:top w:val="nil"/>
              <w:left w:val="nil"/>
              <w:bottom w:val="single" w:sz="4" w:space="0" w:color="auto"/>
              <w:right w:val="nil"/>
            </w:tcBorders>
            <w:vAlign w:val="center"/>
          </w:tcPr>
          <w:p w:rsidR="005B4A3C" w:rsidRPr="00AE0D77" w:rsidRDefault="003D40AD" w:rsidP="004F4AF1">
            <w:pPr>
              <w:snapToGrid w:val="0"/>
              <w:spacing w:line="320" w:lineRule="exact"/>
              <w:jc w:val="center"/>
              <w:rPr>
                <w:rFonts w:eastAsia="標楷體"/>
                <w:spacing w:val="-20"/>
              </w:rPr>
            </w:pPr>
            <w:r w:rsidRPr="00AE0D77">
              <w:rPr>
                <w:rFonts w:eastAsia="標楷體"/>
                <w:spacing w:val="-20"/>
              </w:rPr>
              <w:t>3.89</w:t>
            </w:r>
          </w:p>
        </w:tc>
        <w:tc>
          <w:tcPr>
            <w:tcW w:w="742" w:type="dxa"/>
            <w:tcBorders>
              <w:top w:val="nil"/>
              <w:left w:val="nil"/>
              <w:bottom w:val="single" w:sz="4" w:space="0" w:color="auto"/>
            </w:tcBorders>
            <w:vAlign w:val="center"/>
          </w:tcPr>
          <w:p w:rsidR="005B4A3C" w:rsidRPr="00AE0D77" w:rsidRDefault="003D40AD" w:rsidP="004F4AF1">
            <w:pPr>
              <w:snapToGrid w:val="0"/>
              <w:spacing w:line="320" w:lineRule="exact"/>
              <w:jc w:val="center"/>
              <w:rPr>
                <w:rFonts w:eastAsia="標楷體"/>
                <w:spacing w:val="-20"/>
              </w:rPr>
            </w:pPr>
            <w:r w:rsidRPr="00AE0D77">
              <w:rPr>
                <w:rFonts w:eastAsia="標楷體"/>
                <w:spacing w:val="-20"/>
              </w:rPr>
              <w:t>1.92</w:t>
            </w:r>
          </w:p>
        </w:tc>
      </w:tr>
      <w:tr w:rsidR="00742CC2" w:rsidRPr="00AE0D77" w:rsidTr="0099145A">
        <w:trPr>
          <w:jc w:val="center"/>
        </w:trPr>
        <w:tc>
          <w:tcPr>
            <w:tcW w:w="1514" w:type="dxa"/>
            <w:tcBorders>
              <w:top w:val="single" w:sz="4" w:space="0" w:color="auto"/>
              <w:bottom w:val="single" w:sz="4" w:space="0" w:color="auto"/>
              <w:right w:val="single" w:sz="4" w:space="0" w:color="auto"/>
            </w:tcBorders>
            <w:vAlign w:val="center"/>
          </w:tcPr>
          <w:p w:rsidR="00742CC2" w:rsidRPr="00AE0D77" w:rsidRDefault="00742CC2" w:rsidP="005B4A3C">
            <w:pPr>
              <w:snapToGrid w:val="0"/>
              <w:spacing w:line="280" w:lineRule="exact"/>
              <w:jc w:val="center"/>
              <w:rPr>
                <w:rFonts w:eastAsia="標楷體"/>
                <w:w w:val="95"/>
                <w:sz w:val="22"/>
                <w:szCs w:val="22"/>
              </w:rPr>
            </w:pPr>
            <w:r w:rsidRPr="00AE0D77">
              <w:rPr>
                <w:rFonts w:eastAsia="標楷體"/>
                <w:w w:val="95"/>
                <w:sz w:val="22"/>
                <w:szCs w:val="22"/>
              </w:rPr>
              <w:t>較</w:t>
            </w:r>
            <w:r w:rsidRPr="00AE0D77">
              <w:rPr>
                <w:rFonts w:eastAsia="標楷體"/>
                <w:w w:val="95"/>
                <w:sz w:val="22"/>
                <w:szCs w:val="22"/>
              </w:rPr>
              <w:t>10</w:t>
            </w:r>
            <w:r w:rsidR="005B4A3C" w:rsidRPr="00AE0D77">
              <w:rPr>
                <w:rFonts w:eastAsia="標楷體"/>
                <w:w w:val="95"/>
                <w:sz w:val="22"/>
                <w:szCs w:val="22"/>
              </w:rPr>
              <w:t>5</w:t>
            </w:r>
            <w:r w:rsidRPr="00AE0D77">
              <w:rPr>
                <w:rFonts w:eastAsia="標楷體"/>
                <w:w w:val="95"/>
                <w:sz w:val="22"/>
                <w:szCs w:val="22"/>
              </w:rPr>
              <w:t>年同月變動</w:t>
            </w:r>
            <w:r w:rsidRPr="00AE0D77">
              <w:rPr>
                <w:rFonts w:eastAsia="標楷體"/>
                <w:w w:val="95"/>
                <w:sz w:val="22"/>
                <w:szCs w:val="22"/>
              </w:rPr>
              <w:t>(%</w:t>
            </w:r>
            <w:r w:rsidRPr="00AE0D77">
              <w:rPr>
                <w:rFonts w:eastAsia="標楷體"/>
                <w:w w:val="95"/>
                <w:sz w:val="22"/>
                <w:szCs w:val="22"/>
              </w:rPr>
              <w:t>或百分點</w:t>
            </w:r>
            <w:r w:rsidRPr="00AE0D7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42CC2" w:rsidRPr="00AE0D77" w:rsidRDefault="00742CC2" w:rsidP="005B4A3C">
            <w:pPr>
              <w:jc w:val="center"/>
              <w:rPr>
                <w:rFonts w:eastAsia="標楷體"/>
                <w:spacing w:val="-20"/>
              </w:rPr>
            </w:pPr>
            <w:r w:rsidRPr="00AE0D77">
              <w:rPr>
                <w:rFonts w:eastAsia="標楷體"/>
                <w:spacing w:val="-20"/>
              </w:rPr>
              <w:t>0.</w:t>
            </w:r>
            <w:r w:rsidR="005B4A3C" w:rsidRPr="00AE0D77">
              <w:rPr>
                <w:rFonts w:eastAsia="標楷體"/>
                <w:spacing w:val="-20"/>
              </w:rPr>
              <w:t>57</w:t>
            </w:r>
          </w:p>
        </w:tc>
        <w:tc>
          <w:tcPr>
            <w:tcW w:w="726" w:type="dxa"/>
            <w:tcBorders>
              <w:top w:val="single" w:sz="4" w:space="0" w:color="auto"/>
              <w:left w:val="nil"/>
              <w:bottom w:val="single" w:sz="4" w:space="0" w:color="auto"/>
              <w:right w:val="nil"/>
            </w:tcBorders>
            <w:vAlign w:val="center"/>
          </w:tcPr>
          <w:p w:rsidR="00742CC2" w:rsidRPr="00AE0D77" w:rsidRDefault="00742CC2" w:rsidP="005B4A3C">
            <w:pPr>
              <w:jc w:val="center"/>
              <w:rPr>
                <w:rFonts w:eastAsia="標楷體"/>
                <w:spacing w:val="-20"/>
              </w:rPr>
            </w:pPr>
            <w:r w:rsidRPr="00AE0D77">
              <w:rPr>
                <w:rFonts w:eastAsia="標楷體"/>
                <w:spacing w:val="-20"/>
              </w:rPr>
              <w:t>0.</w:t>
            </w:r>
            <w:r w:rsidR="005B4A3C" w:rsidRPr="00AE0D77">
              <w:rPr>
                <w:rFonts w:eastAsia="標楷體"/>
                <w:spacing w:val="-20"/>
              </w:rPr>
              <w:t>75</w:t>
            </w:r>
          </w:p>
        </w:tc>
        <w:tc>
          <w:tcPr>
            <w:tcW w:w="624" w:type="dxa"/>
            <w:tcBorders>
              <w:top w:val="single" w:sz="4" w:space="0" w:color="auto"/>
              <w:left w:val="nil"/>
              <w:bottom w:val="single" w:sz="4" w:space="0" w:color="auto"/>
              <w:right w:val="nil"/>
            </w:tcBorders>
            <w:vAlign w:val="center"/>
          </w:tcPr>
          <w:p w:rsidR="00742CC2" w:rsidRPr="00AE0D77" w:rsidRDefault="005B4A3C" w:rsidP="0099145A">
            <w:pPr>
              <w:jc w:val="center"/>
              <w:rPr>
                <w:rFonts w:eastAsia="標楷體"/>
                <w:spacing w:val="-20"/>
              </w:rPr>
            </w:pPr>
            <w:r w:rsidRPr="00AE0D77">
              <w:rPr>
                <w:rFonts w:eastAsia="標楷體"/>
                <w:spacing w:val="-20"/>
              </w:rPr>
              <w:t>-3.96</w:t>
            </w:r>
          </w:p>
        </w:tc>
        <w:tc>
          <w:tcPr>
            <w:tcW w:w="684" w:type="dxa"/>
            <w:tcBorders>
              <w:top w:val="single" w:sz="4" w:space="0" w:color="auto"/>
              <w:left w:val="nil"/>
              <w:bottom w:val="single" w:sz="4" w:space="0" w:color="auto"/>
              <w:right w:val="nil"/>
            </w:tcBorders>
            <w:vAlign w:val="center"/>
          </w:tcPr>
          <w:p w:rsidR="00742CC2" w:rsidRPr="00AE0D77" w:rsidRDefault="005B4A3C" w:rsidP="0099145A">
            <w:pPr>
              <w:jc w:val="center"/>
              <w:rPr>
                <w:rFonts w:eastAsia="標楷體"/>
                <w:spacing w:val="-20"/>
              </w:rPr>
            </w:pPr>
            <w:r w:rsidRPr="00AE0D77">
              <w:rPr>
                <w:rFonts w:eastAsia="標楷體"/>
                <w:spacing w:val="-20"/>
              </w:rPr>
              <w:t>0.07</w:t>
            </w:r>
            <w:r w:rsidR="00742CC2" w:rsidRPr="00AE0D77">
              <w:rPr>
                <w:rFonts w:eastAsia="標楷體"/>
                <w:spacing w:val="-20"/>
              </w:rPr>
              <w:t>*</w:t>
            </w:r>
          </w:p>
        </w:tc>
        <w:tc>
          <w:tcPr>
            <w:tcW w:w="542" w:type="dxa"/>
            <w:tcBorders>
              <w:top w:val="single" w:sz="4" w:space="0" w:color="auto"/>
              <w:left w:val="nil"/>
              <w:bottom w:val="single" w:sz="4" w:space="0" w:color="auto"/>
              <w:right w:val="nil"/>
            </w:tcBorders>
            <w:vAlign w:val="center"/>
          </w:tcPr>
          <w:p w:rsidR="00742CC2" w:rsidRPr="00AE0D77" w:rsidRDefault="000C665D" w:rsidP="0099145A">
            <w:pPr>
              <w:jc w:val="center"/>
              <w:rPr>
                <w:rFonts w:eastAsia="標楷體"/>
                <w:spacing w:val="-20"/>
              </w:rPr>
            </w:pPr>
            <w:r w:rsidRPr="00AE0D77">
              <w:rPr>
                <w:rFonts w:eastAsia="標楷體"/>
                <w:spacing w:val="-20"/>
              </w:rPr>
              <w:t>-0.64</w:t>
            </w:r>
          </w:p>
        </w:tc>
        <w:tc>
          <w:tcPr>
            <w:tcW w:w="651" w:type="dxa"/>
            <w:tcBorders>
              <w:top w:val="single" w:sz="4" w:space="0" w:color="auto"/>
              <w:left w:val="nil"/>
              <w:bottom w:val="single" w:sz="4" w:space="0" w:color="auto"/>
              <w:right w:val="nil"/>
            </w:tcBorders>
            <w:vAlign w:val="center"/>
          </w:tcPr>
          <w:p w:rsidR="00742CC2" w:rsidRPr="00AE0D77" w:rsidRDefault="00742CC2" w:rsidP="000C665D">
            <w:pPr>
              <w:jc w:val="center"/>
              <w:rPr>
                <w:rFonts w:eastAsia="標楷體"/>
                <w:spacing w:val="-20"/>
              </w:rPr>
            </w:pPr>
            <w:r w:rsidRPr="00AE0D77">
              <w:rPr>
                <w:rFonts w:eastAsia="標楷體"/>
                <w:spacing w:val="-20"/>
              </w:rPr>
              <w:t>0.</w:t>
            </w:r>
            <w:r w:rsidR="000C665D" w:rsidRPr="00AE0D77">
              <w:rPr>
                <w:rFonts w:eastAsia="標楷體"/>
                <w:spacing w:val="-20"/>
              </w:rPr>
              <w:t>48</w:t>
            </w:r>
          </w:p>
        </w:tc>
        <w:tc>
          <w:tcPr>
            <w:tcW w:w="742" w:type="dxa"/>
            <w:tcBorders>
              <w:top w:val="single" w:sz="4" w:space="0" w:color="auto"/>
              <w:left w:val="nil"/>
              <w:bottom w:val="single" w:sz="4" w:space="0" w:color="auto"/>
              <w:right w:val="nil"/>
            </w:tcBorders>
            <w:vAlign w:val="center"/>
          </w:tcPr>
          <w:p w:rsidR="00742CC2" w:rsidRPr="00AE0D77" w:rsidRDefault="00742CC2" w:rsidP="000C665D">
            <w:pPr>
              <w:jc w:val="center"/>
              <w:rPr>
                <w:rFonts w:eastAsia="標楷體"/>
                <w:spacing w:val="-20"/>
              </w:rPr>
            </w:pPr>
            <w:r w:rsidRPr="00AE0D77">
              <w:rPr>
                <w:rFonts w:eastAsia="標楷體"/>
                <w:spacing w:val="-20"/>
              </w:rPr>
              <w:t>0.</w:t>
            </w:r>
            <w:r w:rsidR="000C665D" w:rsidRPr="00AE0D77">
              <w:rPr>
                <w:rFonts w:eastAsia="標楷體"/>
                <w:spacing w:val="-20"/>
              </w:rPr>
              <w:t>54</w:t>
            </w:r>
          </w:p>
        </w:tc>
        <w:tc>
          <w:tcPr>
            <w:tcW w:w="655" w:type="dxa"/>
            <w:tcBorders>
              <w:top w:val="single" w:sz="4" w:space="0" w:color="auto"/>
              <w:left w:val="nil"/>
              <w:bottom w:val="single" w:sz="4" w:space="0" w:color="auto"/>
              <w:right w:val="nil"/>
            </w:tcBorders>
            <w:vAlign w:val="center"/>
          </w:tcPr>
          <w:p w:rsidR="00742CC2" w:rsidRPr="00AE0D77" w:rsidRDefault="000C665D" w:rsidP="0099145A">
            <w:pPr>
              <w:jc w:val="center"/>
              <w:rPr>
                <w:rFonts w:eastAsia="標楷體"/>
                <w:spacing w:val="-20"/>
              </w:rPr>
            </w:pPr>
            <w:r w:rsidRPr="00AE0D77">
              <w:rPr>
                <w:rFonts w:eastAsia="標楷體"/>
                <w:spacing w:val="-20"/>
              </w:rPr>
              <w:t>1.03</w:t>
            </w:r>
          </w:p>
        </w:tc>
        <w:tc>
          <w:tcPr>
            <w:tcW w:w="712" w:type="dxa"/>
            <w:tcBorders>
              <w:top w:val="single" w:sz="4" w:space="0" w:color="auto"/>
              <w:left w:val="nil"/>
              <w:bottom w:val="single" w:sz="4" w:space="0" w:color="auto"/>
              <w:right w:val="nil"/>
            </w:tcBorders>
            <w:vAlign w:val="center"/>
          </w:tcPr>
          <w:p w:rsidR="00742CC2" w:rsidRPr="00AE0D77" w:rsidRDefault="000C665D" w:rsidP="0099145A">
            <w:pPr>
              <w:jc w:val="center"/>
              <w:rPr>
                <w:rFonts w:eastAsia="標楷體"/>
                <w:spacing w:val="-20"/>
              </w:rPr>
            </w:pPr>
            <w:r w:rsidRPr="00AE0D77">
              <w:rPr>
                <w:rFonts w:eastAsia="標楷體"/>
                <w:spacing w:val="-20"/>
              </w:rPr>
              <w:t>-0.18</w:t>
            </w:r>
            <w:r w:rsidR="00742CC2" w:rsidRPr="00AE0D77">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742CC2" w:rsidRPr="00AE0D77" w:rsidRDefault="00742CC2" w:rsidP="00D17DC7">
            <w:pPr>
              <w:jc w:val="center"/>
              <w:rPr>
                <w:rFonts w:eastAsia="標楷體"/>
                <w:spacing w:val="-20"/>
              </w:rPr>
            </w:pPr>
            <w:r w:rsidRPr="00AE0D77">
              <w:rPr>
                <w:rFonts w:eastAsia="標楷體"/>
                <w:spacing w:val="-20"/>
              </w:rPr>
              <w:t>0.</w:t>
            </w:r>
            <w:r w:rsidR="00D17DC7" w:rsidRPr="00AE0D77">
              <w:rPr>
                <w:rFonts w:eastAsia="標楷體"/>
                <w:spacing w:val="-20"/>
              </w:rPr>
              <w:t>07</w:t>
            </w:r>
            <w:r w:rsidRPr="00AE0D77">
              <w:rPr>
                <w:rFonts w:eastAsia="標楷體"/>
                <w:spacing w:val="-20"/>
              </w:rPr>
              <w:t>*</w:t>
            </w:r>
          </w:p>
        </w:tc>
        <w:tc>
          <w:tcPr>
            <w:tcW w:w="742" w:type="dxa"/>
            <w:tcBorders>
              <w:top w:val="single" w:sz="4" w:space="0" w:color="auto"/>
              <w:left w:val="nil"/>
              <w:bottom w:val="single" w:sz="4" w:space="0" w:color="auto"/>
              <w:right w:val="nil"/>
            </w:tcBorders>
            <w:vAlign w:val="center"/>
          </w:tcPr>
          <w:p w:rsidR="00742CC2" w:rsidRPr="00AE0D77" w:rsidRDefault="003D40AD" w:rsidP="0099145A">
            <w:pPr>
              <w:jc w:val="center"/>
              <w:rPr>
                <w:rFonts w:eastAsia="標楷體"/>
                <w:spacing w:val="-20"/>
              </w:rPr>
            </w:pPr>
            <w:r w:rsidRPr="00AE0D77">
              <w:rPr>
                <w:rFonts w:eastAsia="標楷體"/>
                <w:spacing w:val="-20"/>
              </w:rPr>
              <w:t>-0.15</w:t>
            </w:r>
            <w:r w:rsidR="00742CC2" w:rsidRPr="00AE0D77">
              <w:rPr>
                <w:rFonts w:eastAsia="標楷體"/>
                <w:spacing w:val="-20"/>
              </w:rPr>
              <w:t>*</w:t>
            </w:r>
          </w:p>
        </w:tc>
        <w:tc>
          <w:tcPr>
            <w:tcW w:w="742" w:type="dxa"/>
            <w:tcBorders>
              <w:top w:val="single" w:sz="4" w:space="0" w:color="auto"/>
              <w:left w:val="nil"/>
              <w:bottom w:val="single" w:sz="4" w:space="0" w:color="auto"/>
            </w:tcBorders>
            <w:vAlign w:val="center"/>
          </w:tcPr>
          <w:p w:rsidR="00742CC2" w:rsidRPr="00AE0D77" w:rsidRDefault="003D40AD" w:rsidP="0099145A">
            <w:pPr>
              <w:jc w:val="center"/>
              <w:rPr>
                <w:rFonts w:eastAsia="標楷體"/>
                <w:spacing w:val="-20"/>
              </w:rPr>
            </w:pPr>
            <w:r w:rsidRPr="00AE0D77">
              <w:rPr>
                <w:rFonts w:eastAsia="標楷體"/>
                <w:spacing w:val="-20"/>
              </w:rPr>
              <w:t>-</w:t>
            </w:r>
            <w:r w:rsidR="00742CC2" w:rsidRPr="00AE0D77">
              <w:rPr>
                <w:rFonts w:eastAsia="標楷體"/>
                <w:spacing w:val="-20"/>
              </w:rPr>
              <w:t>0.26*</w:t>
            </w:r>
          </w:p>
        </w:tc>
      </w:tr>
      <w:tr w:rsidR="00742CC2" w:rsidRPr="00AE0D77" w:rsidTr="0099145A">
        <w:trPr>
          <w:jc w:val="center"/>
        </w:trPr>
        <w:tc>
          <w:tcPr>
            <w:tcW w:w="1514" w:type="dxa"/>
            <w:tcBorders>
              <w:top w:val="single" w:sz="4" w:space="0" w:color="auto"/>
              <w:bottom w:val="single" w:sz="4" w:space="0" w:color="auto"/>
              <w:right w:val="single" w:sz="4" w:space="0" w:color="auto"/>
            </w:tcBorders>
            <w:vAlign w:val="center"/>
          </w:tcPr>
          <w:p w:rsidR="00742CC2" w:rsidRPr="00AE0D77" w:rsidRDefault="00742CC2" w:rsidP="0099145A">
            <w:pPr>
              <w:snapToGrid w:val="0"/>
              <w:spacing w:line="280" w:lineRule="exact"/>
              <w:jc w:val="center"/>
              <w:rPr>
                <w:rFonts w:eastAsia="標楷體"/>
                <w:w w:val="95"/>
                <w:sz w:val="22"/>
                <w:szCs w:val="22"/>
              </w:rPr>
            </w:pPr>
            <w:r w:rsidRPr="00AE0D77">
              <w:rPr>
                <w:rFonts w:eastAsia="標楷體"/>
                <w:w w:val="95"/>
                <w:sz w:val="22"/>
                <w:szCs w:val="22"/>
              </w:rPr>
              <w:t>累計較</w:t>
            </w:r>
            <w:r w:rsidR="005B4A3C" w:rsidRPr="00AE0D77">
              <w:rPr>
                <w:rFonts w:eastAsia="標楷體"/>
                <w:w w:val="95"/>
                <w:sz w:val="22"/>
                <w:szCs w:val="22"/>
              </w:rPr>
              <w:t>105</w:t>
            </w:r>
            <w:r w:rsidRPr="00AE0D77">
              <w:rPr>
                <w:rFonts w:eastAsia="標楷體"/>
                <w:w w:val="95"/>
                <w:sz w:val="22"/>
                <w:szCs w:val="22"/>
              </w:rPr>
              <w:t>年同期變動</w:t>
            </w:r>
            <w:r w:rsidRPr="00AE0D77">
              <w:rPr>
                <w:rFonts w:eastAsia="標楷體"/>
                <w:w w:val="95"/>
                <w:sz w:val="22"/>
                <w:szCs w:val="22"/>
              </w:rPr>
              <w:t>(%</w:t>
            </w:r>
            <w:r w:rsidRPr="00AE0D77">
              <w:rPr>
                <w:rFonts w:eastAsia="標楷體"/>
                <w:w w:val="95"/>
                <w:sz w:val="22"/>
                <w:szCs w:val="22"/>
              </w:rPr>
              <w:t>或百分點</w:t>
            </w:r>
            <w:r w:rsidRPr="00AE0D7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42CC2" w:rsidRPr="00AE0D77" w:rsidRDefault="005B4A3C" w:rsidP="0099145A">
            <w:pPr>
              <w:jc w:val="center"/>
              <w:rPr>
                <w:rFonts w:eastAsia="標楷體"/>
                <w:spacing w:val="-20"/>
              </w:rPr>
            </w:pPr>
            <w:r w:rsidRPr="00AE0D77">
              <w:rPr>
                <w:rFonts w:eastAsia="標楷體"/>
                <w:spacing w:val="-20"/>
              </w:rPr>
              <w:t>0.57</w:t>
            </w:r>
          </w:p>
        </w:tc>
        <w:tc>
          <w:tcPr>
            <w:tcW w:w="726" w:type="dxa"/>
            <w:tcBorders>
              <w:top w:val="single" w:sz="4" w:space="0" w:color="auto"/>
              <w:left w:val="nil"/>
              <w:bottom w:val="single" w:sz="4" w:space="0" w:color="auto"/>
              <w:right w:val="nil"/>
            </w:tcBorders>
            <w:vAlign w:val="center"/>
          </w:tcPr>
          <w:p w:rsidR="00742CC2" w:rsidRPr="00AE0D77" w:rsidRDefault="00742CC2" w:rsidP="005B4A3C">
            <w:pPr>
              <w:jc w:val="center"/>
              <w:rPr>
                <w:rFonts w:eastAsia="標楷體"/>
                <w:spacing w:val="-20"/>
              </w:rPr>
            </w:pPr>
            <w:r w:rsidRPr="00AE0D77">
              <w:rPr>
                <w:rFonts w:eastAsia="標楷體"/>
                <w:spacing w:val="-20"/>
              </w:rPr>
              <w:t>0.</w:t>
            </w:r>
            <w:r w:rsidR="005B4A3C" w:rsidRPr="00AE0D77">
              <w:rPr>
                <w:rFonts w:eastAsia="標楷體"/>
                <w:spacing w:val="-20"/>
              </w:rPr>
              <w:t>70</w:t>
            </w:r>
          </w:p>
        </w:tc>
        <w:tc>
          <w:tcPr>
            <w:tcW w:w="624" w:type="dxa"/>
            <w:tcBorders>
              <w:top w:val="single" w:sz="4" w:space="0" w:color="auto"/>
              <w:left w:val="nil"/>
              <w:bottom w:val="single" w:sz="4" w:space="0" w:color="auto"/>
              <w:right w:val="nil"/>
            </w:tcBorders>
            <w:vAlign w:val="center"/>
          </w:tcPr>
          <w:p w:rsidR="00742CC2" w:rsidRPr="00AE0D77" w:rsidRDefault="005B4A3C" w:rsidP="0099145A">
            <w:pPr>
              <w:jc w:val="center"/>
              <w:rPr>
                <w:rFonts w:eastAsia="標楷體"/>
                <w:spacing w:val="-20"/>
              </w:rPr>
            </w:pPr>
            <w:r w:rsidRPr="00AE0D77">
              <w:rPr>
                <w:rFonts w:eastAsia="標楷體"/>
                <w:spacing w:val="-20"/>
              </w:rPr>
              <w:t>-2.82</w:t>
            </w:r>
          </w:p>
        </w:tc>
        <w:tc>
          <w:tcPr>
            <w:tcW w:w="684" w:type="dxa"/>
            <w:tcBorders>
              <w:top w:val="single" w:sz="4" w:space="0" w:color="auto"/>
              <w:left w:val="nil"/>
              <w:bottom w:val="single" w:sz="4" w:space="0" w:color="auto"/>
              <w:right w:val="nil"/>
            </w:tcBorders>
            <w:vAlign w:val="center"/>
          </w:tcPr>
          <w:p w:rsidR="00742CC2" w:rsidRPr="00AE0D77" w:rsidRDefault="005B4A3C" w:rsidP="0099145A">
            <w:pPr>
              <w:jc w:val="center"/>
              <w:rPr>
                <w:rFonts w:eastAsia="標楷體"/>
                <w:spacing w:val="-20"/>
              </w:rPr>
            </w:pPr>
            <w:r w:rsidRPr="00AE0D77">
              <w:rPr>
                <w:rFonts w:eastAsia="標楷體"/>
                <w:spacing w:val="-20"/>
              </w:rPr>
              <w:t>0.08</w:t>
            </w:r>
            <w:r w:rsidR="00742CC2" w:rsidRPr="00AE0D77">
              <w:rPr>
                <w:rFonts w:eastAsia="標楷體"/>
                <w:spacing w:val="-20"/>
              </w:rPr>
              <w:t>*</w:t>
            </w:r>
          </w:p>
        </w:tc>
        <w:tc>
          <w:tcPr>
            <w:tcW w:w="542" w:type="dxa"/>
            <w:tcBorders>
              <w:top w:val="single" w:sz="4" w:space="0" w:color="auto"/>
              <w:left w:val="nil"/>
              <w:bottom w:val="single" w:sz="4" w:space="0" w:color="auto"/>
              <w:right w:val="nil"/>
            </w:tcBorders>
            <w:vAlign w:val="center"/>
          </w:tcPr>
          <w:p w:rsidR="00742CC2" w:rsidRPr="00AE0D77" w:rsidRDefault="000C665D" w:rsidP="0099145A">
            <w:pPr>
              <w:jc w:val="center"/>
              <w:rPr>
                <w:rFonts w:eastAsia="標楷體"/>
                <w:spacing w:val="-20"/>
              </w:rPr>
            </w:pPr>
            <w:r w:rsidRPr="00AE0D77">
              <w:rPr>
                <w:rFonts w:eastAsia="標楷體"/>
                <w:spacing w:val="-20"/>
              </w:rPr>
              <w:t>-0.21</w:t>
            </w:r>
          </w:p>
        </w:tc>
        <w:tc>
          <w:tcPr>
            <w:tcW w:w="651" w:type="dxa"/>
            <w:tcBorders>
              <w:top w:val="single" w:sz="4" w:space="0" w:color="auto"/>
              <w:left w:val="nil"/>
              <w:bottom w:val="single" w:sz="4" w:space="0" w:color="auto"/>
              <w:right w:val="nil"/>
            </w:tcBorders>
            <w:vAlign w:val="center"/>
          </w:tcPr>
          <w:p w:rsidR="00742CC2" w:rsidRPr="00AE0D77" w:rsidRDefault="00742CC2" w:rsidP="000C665D">
            <w:pPr>
              <w:jc w:val="center"/>
              <w:rPr>
                <w:rFonts w:eastAsia="標楷體"/>
                <w:spacing w:val="-20"/>
              </w:rPr>
            </w:pPr>
            <w:r w:rsidRPr="00AE0D77">
              <w:rPr>
                <w:rFonts w:eastAsia="標楷體"/>
                <w:spacing w:val="-20"/>
              </w:rPr>
              <w:t>0.</w:t>
            </w:r>
            <w:r w:rsidR="000C665D" w:rsidRPr="00AE0D77">
              <w:rPr>
                <w:rFonts w:eastAsia="標楷體"/>
                <w:spacing w:val="-20"/>
              </w:rPr>
              <w:t>45</w:t>
            </w:r>
          </w:p>
        </w:tc>
        <w:tc>
          <w:tcPr>
            <w:tcW w:w="742" w:type="dxa"/>
            <w:tcBorders>
              <w:top w:val="single" w:sz="4" w:space="0" w:color="auto"/>
              <w:left w:val="nil"/>
              <w:bottom w:val="single" w:sz="4" w:space="0" w:color="auto"/>
              <w:right w:val="nil"/>
            </w:tcBorders>
            <w:vAlign w:val="center"/>
          </w:tcPr>
          <w:p w:rsidR="00742CC2" w:rsidRPr="00AE0D77" w:rsidRDefault="00742CC2" w:rsidP="0099145A">
            <w:pPr>
              <w:jc w:val="center"/>
              <w:rPr>
                <w:rFonts w:eastAsia="標楷體"/>
                <w:spacing w:val="-20"/>
              </w:rPr>
            </w:pPr>
            <w:r w:rsidRPr="00AE0D77">
              <w:rPr>
                <w:rFonts w:eastAsia="標楷體"/>
                <w:spacing w:val="-20"/>
              </w:rPr>
              <w:t>0.</w:t>
            </w:r>
            <w:r w:rsidR="000C665D" w:rsidRPr="00AE0D77">
              <w:rPr>
                <w:rFonts w:eastAsia="標楷體"/>
                <w:spacing w:val="-20"/>
              </w:rPr>
              <w:t>47</w:t>
            </w:r>
          </w:p>
        </w:tc>
        <w:tc>
          <w:tcPr>
            <w:tcW w:w="655" w:type="dxa"/>
            <w:tcBorders>
              <w:top w:val="single" w:sz="4" w:space="0" w:color="auto"/>
              <w:left w:val="nil"/>
              <w:bottom w:val="single" w:sz="4" w:space="0" w:color="auto"/>
              <w:right w:val="nil"/>
            </w:tcBorders>
            <w:vAlign w:val="center"/>
          </w:tcPr>
          <w:p w:rsidR="00742CC2" w:rsidRPr="00AE0D77" w:rsidRDefault="00742CC2" w:rsidP="0099145A">
            <w:pPr>
              <w:jc w:val="center"/>
              <w:rPr>
                <w:rFonts w:eastAsia="標楷體"/>
                <w:spacing w:val="-20"/>
              </w:rPr>
            </w:pPr>
            <w:r w:rsidRPr="00AE0D77">
              <w:rPr>
                <w:rFonts w:eastAsia="標楷體"/>
                <w:spacing w:val="-20"/>
              </w:rPr>
              <w:t>0.94</w:t>
            </w:r>
          </w:p>
        </w:tc>
        <w:tc>
          <w:tcPr>
            <w:tcW w:w="712" w:type="dxa"/>
            <w:tcBorders>
              <w:top w:val="single" w:sz="4" w:space="0" w:color="auto"/>
              <w:left w:val="nil"/>
              <w:bottom w:val="single" w:sz="4" w:space="0" w:color="auto"/>
              <w:right w:val="nil"/>
            </w:tcBorders>
            <w:vAlign w:val="center"/>
          </w:tcPr>
          <w:p w:rsidR="00742CC2" w:rsidRPr="00AE0D77" w:rsidRDefault="000C665D" w:rsidP="0099145A">
            <w:pPr>
              <w:jc w:val="center"/>
              <w:rPr>
                <w:rFonts w:eastAsia="標楷體"/>
                <w:spacing w:val="-20"/>
              </w:rPr>
            </w:pPr>
            <w:r w:rsidRPr="00AE0D77">
              <w:rPr>
                <w:rFonts w:eastAsia="標楷體"/>
                <w:spacing w:val="-20"/>
              </w:rPr>
              <w:t>-0.13</w:t>
            </w:r>
            <w:r w:rsidR="00742CC2" w:rsidRPr="00AE0D77">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742CC2" w:rsidRPr="00AE0D77" w:rsidRDefault="00D17DC7" w:rsidP="0099145A">
            <w:pPr>
              <w:jc w:val="center"/>
              <w:rPr>
                <w:rFonts w:eastAsia="標楷體"/>
                <w:spacing w:val="-20"/>
              </w:rPr>
            </w:pPr>
            <w:r w:rsidRPr="00AE0D77">
              <w:rPr>
                <w:rFonts w:eastAsia="標楷體"/>
                <w:spacing w:val="-20"/>
              </w:rPr>
              <w:t>0.08</w:t>
            </w:r>
            <w:r w:rsidR="00742CC2" w:rsidRPr="00AE0D77">
              <w:rPr>
                <w:rFonts w:eastAsia="標楷體"/>
                <w:spacing w:val="-20"/>
              </w:rPr>
              <w:t>*</w:t>
            </w:r>
          </w:p>
        </w:tc>
        <w:tc>
          <w:tcPr>
            <w:tcW w:w="742" w:type="dxa"/>
            <w:tcBorders>
              <w:top w:val="single" w:sz="4" w:space="0" w:color="auto"/>
              <w:left w:val="nil"/>
              <w:bottom w:val="single" w:sz="4" w:space="0" w:color="auto"/>
              <w:right w:val="nil"/>
            </w:tcBorders>
            <w:vAlign w:val="center"/>
          </w:tcPr>
          <w:p w:rsidR="00742CC2" w:rsidRPr="00AE0D77" w:rsidRDefault="003D40AD" w:rsidP="0099145A">
            <w:pPr>
              <w:jc w:val="center"/>
              <w:rPr>
                <w:rFonts w:eastAsia="標楷體"/>
                <w:spacing w:val="-20"/>
              </w:rPr>
            </w:pPr>
            <w:r w:rsidRPr="00AE0D77">
              <w:rPr>
                <w:rFonts w:eastAsia="標楷體"/>
                <w:spacing w:val="-20"/>
              </w:rPr>
              <w:t>-0.16</w:t>
            </w:r>
            <w:r w:rsidR="00742CC2" w:rsidRPr="00AE0D77">
              <w:rPr>
                <w:rFonts w:eastAsia="標楷體"/>
                <w:spacing w:val="-20"/>
              </w:rPr>
              <w:t>*</w:t>
            </w:r>
          </w:p>
        </w:tc>
        <w:tc>
          <w:tcPr>
            <w:tcW w:w="742" w:type="dxa"/>
            <w:tcBorders>
              <w:top w:val="single" w:sz="4" w:space="0" w:color="auto"/>
              <w:left w:val="nil"/>
              <w:bottom w:val="single" w:sz="4" w:space="0" w:color="auto"/>
            </w:tcBorders>
            <w:vAlign w:val="center"/>
          </w:tcPr>
          <w:p w:rsidR="00742CC2" w:rsidRPr="00AE0D77" w:rsidRDefault="003D40AD" w:rsidP="0099145A">
            <w:pPr>
              <w:jc w:val="center"/>
              <w:rPr>
                <w:rFonts w:eastAsia="標楷體"/>
                <w:spacing w:val="-20"/>
              </w:rPr>
            </w:pPr>
            <w:r w:rsidRPr="00AE0D77">
              <w:rPr>
                <w:rFonts w:eastAsia="標楷體"/>
                <w:spacing w:val="-20"/>
              </w:rPr>
              <w:t>-0.16</w:t>
            </w:r>
            <w:r w:rsidR="00742CC2" w:rsidRPr="00AE0D77">
              <w:rPr>
                <w:rFonts w:eastAsia="標楷體"/>
                <w:spacing w:val="-20"/>
              </w:rPr>
              <w:t>*</w:t>
            </w:r>
          </w:p>
        </w:tc>
      </w:tr>
    </w:tbl>
    <w:p w:rsidR="00742CC2" w:rsidRPr="00AE0D77" w:rsidRDefault="00742CC2" w:rsidP="00742CC2">
      <w:pPr>
        <w:snapToGrid w:val="0"/>
        <w:spacing w:line="240" w:lineRule="atLeast"/>
        <w:ind w:leftChars="-118" w:left="1" w:right="-465" w:hangingChars="129" w:hanging="284"/>
        <w:rPr>
          <w:rFonts w:eastAsia="標楷體"/>
          <w:sz w:val="22"/>
          <w:szCs w:val="22"/>
        </w:rPr>
      </w:pPr>
      <w:r w:rsidRPr="00AE0D77">
        <w:rPr>
          <w:rFonts w:eastAsia="標楷體"/>
          <w:sz w:val="22"/>
          <w:szCs w:val="22"/>
        </w:rPr>
        <w:t>註：</w:t>
      </w:r>
      <w:r w:rsidRPr="00AE0D77">
        <w:rPr>
          <w:rFonts w:eastAsia="標楷體"/>
          <w:sz w:val="22"/>
          <w:szCs w:val="22"/>
        </w:rPr>
        <w:t>*</w:t>
      </w:r>
      <w:r w:rsidRPr="00AE0D77">
        <w:rPr>
          <w:rFonts w:eastAsia="標楷體"/>
          <w:sz w:val="22"/>
          <w:szCs w:val="22"/>
        </w:rPr>
        <w:t>數字表示增減百分點</w:t>
      </w:r>
    </w:p>
    <w:p w:rsidR="00742CC2" w:rsidRPr="00AE0D77" w:rsidRDefault="00742CC2" w:rsidP="00742CC2">
      <w:pPr>
        <w:tabs>
          <w:tab w:val="left" w:pos="540"/>
        </w:tabs>
        <w:snapToGrid w:val="0"/>
        <w:spacing w:line="300" w:lineRule="auto"/>
        <w:ind w:leftChars="-118" w:left="1" w:rightChars="-136" w:right="-326" w:hangingChars="129" w:hanging="284"/>
        <w:rPr>
          <w:rFonts w:eastAsia="標楷體"/>
          <w:b/>
          <w:bCs/>
          <w:spacing w:val="-4"/>
          <w:sz w:val="28"/>
          <w:szCs w:val="28"/>
        </w:rPr>
      </w:pPr>
      <w:r w:rsidRPr="00AE0D77">
        <w:rPr>
          <w:rFonts w:eastAsia="標楷體"/>
          <w:sz w:val="22"/>
          <w:szCs w:val="22"/>
        </w:rPr>
        <w:t>資料來源：行政院主計總處「人力資源統計月報」。</w:t>
      </w:r>
    </w:p>
    <w:p w:rsidR="00742CC2" w:rsidRPr="00AE0D77" w:rsidRDefault="00742CC2" w:rsidP="00742CC2">
      <w:pPr>
        <w:tabs>
          <w:tab w:val="left" w:pos="540"/>
        </w:tabs>
        <w:snapToGrid w:val="0"/>
        <w:spacing w:line="300" w:lineRule="auto"/>
        <w:ind w:rightChars="-136" w:right="-326"/>
        <w:rPr>
          <w:rFonts w:eastAsia="標楷體"/>
          <w:b/>
          <w:bCs/>
          <w:spacing w:val="-4"/>
          <w:sz w:val="28"/>
          <w:szCs w:val="28"/>
        </w:rPr>
      </w:pPr>
    </w:p>
    <w:p w:rsidR="00742CC2" w:rsidRPr="00AE0D77" w:rsidRDefault="00742CC2" w:rsidP="00742CC2">
      <w:pPr>
        <w:tabs>
          <w:tab w:val="left" w:pos="540"/>
        </w:tabs>
        <w:snapToGrid w:val="0"/>
        <w:spacing w:beforeLines="50" w:before="180" w:line="300" w:lineRule="auto"/>
        <w:rPr>
          <w:rFonts w:eastAsia="標楷體"/>
          <w:b/>
          <w:bCs/>
          <w:sz w:val="28"/>
          <w:szCs w:val="28"/>
        </w:rPr>
      </w:pPr>
      <w:r w:rsidRPr="00AE0D77">
        <w:rPr>
          <w:rFonts w:eastAsia="標楷體"/>
          <w:b/>
          <w:bCs/>
          <w:sz w:val="28"/>
          <w:szCs w:val="28"/>
        </w:rPr>
        <w:t>２、國際比較</w:t>
      </w:r>
    </w:p>
    <w:p w:rsidR="00742CC2" w:rsidRPr="00AE0D77" w:rsidRDefault="00742CC2" w:rsidP="00742CC2">
      <w:pPr>
        <w:snapToGrid w:val="0"/>
        <w:spacing w:beforeLines="50" w:before="180" w:line="300" w:lineRule="auto"/>
        <w:ind w:leftChars="118" w:left="283" w:rightChars="-59" w:right="-142" w:firstLineChars="202" w:firstLine="566"/>
        <w:jc w:val="both"/>
        <w:rPr>
          <w:rFonts w:eastAsia="標楷體"/>
          <w:sz w:val="28"/>
          <w:szCs w:val="32"/>
        </w:rPr>
      </w:pPr>
      <w:r w:rsidRPr="00AE0D77">
        <w:rPr>
          <w:rFonts w:eastAsia="標楷體"/>
          <w:sz w:val="28"/>
          <w:szCs w:val="32"/>
        </w:rPr>
        <w:t>10</w:t>
      </w:r>
      <w:r w:rsidR="008956E0" w:rsidRPr="00AE0D77">
        <w:rPr>
          <w:rFonts w:eastAsia="標楷體"/>
          <w:sz w:val="28"/>
          <w:szCs w:val="32"/>
        </w:rPr>
        <w:t>6</w:t>
      </w:r>
      <w:r w:rsidRPr="00AE0D77">
        <w:rPr>
          <w:rFonts w:eastAsia="標楷體"/>
          <w:sz w:val="28"/>
          <w:szCs w:val="32"/>
        </w:rPr>
        <w:t>年</w:t>
      </w:r>
      <w:r w:rsidRPr="00AE0D77">
        <w:rPr>
          <w:rFonts w:eastAsia="標楷體"/>
          <w:sz w:val="28"/>
          <w:szCs w:val="32"/>
        </w:rPr>
        <w:t>5</w:t>
      </w:r>
      <w:r w:rsidRPr="00AE0D77">
        <w:rPr>
          <w:rFonts w:eastAsia="標楷體"/>
          <w:sz w:val="28"/>
          <w:szCs w:val="32"/>
        </w:rPr>
        <w:t>月國內經季節調整後之失業率為</w:t>
      </w:r>
      <w:r w:rsidRPr="00AE0D77">
        <w:rPr>
          <w:rFonts w:eastAsia="標楷體"/>
          <w:sz w:val="28"/>
          <w:szCs w:val="32"/>
        </w:rPr>
        <w:t>3.</w:t>
      </w:r>
      <w:r w:rsidR="008956E0" w:rsidRPr="00AE0D77">
        <w:rPr>
          <w:rFonts w:eastAsia="標楷體"/>
          <w:sz w:val="28"/>
          <w:szCs w:val="32"/>
        </w:rPr>
        <w:t>79</w:t>
      </w:r>
      <w:r w:rsidRPr="00AE0D77">
        <w:rPr>
          <w:rFonts w:eastAsia="標楷體"/>
          <w:sz w:val="28"/>
          <w:szCs w:val="32"/>
        </w:rPr>
        <w:t>%</w:t>
      </w:r>
      <w:r w:rsidRPr="00AE0D77">
        <w:rPr>
          <w:rFonts w:eastAsia="標楷體"/>
          <w:sz w:val="28"/>
          <w:szCs w:val="32"/>
        </w:rPr>
        <w:t>，低於美國、加拿大。</w:t>
      </w:r>
    </w:p>
    <w:p w:rsidR="00742CC2" w:rsidRPr="00AE0D77" w:rsidRDefault="00742CC2" w:rsidP="00742CC2">
      <w:pPr>
        <w:snapToGrid w:val="0"/>
        <w:spacing w:before="120"/>
        <w:jc w:val="center"/>
        <w:rPr>
          <w:rFonts w:eastAsia="標楷體"/>
          <w:b/>
          <w:bCs/>
          <w:sz w:val="28"/>
        </w:rPr>
      </w:pPr>
      <w:r w:rsidRPr="00AE0D77">
        <w:rPr>
          <w:rFonts w:eastAsia="標楷體"/>
          <w:b/>
          <w:bCs/>
          <w:sz w:val="28"/>
        </w:rPr>
        <w:t>表</w:t>
      </w:r>
      <w:r w:rsidRPr="00AE0D77">
        <w:rPr>
          <w:rFonts w:eastAsia="標楷體"/>
          <w:b/>
          <w:bCs/>
          <w:sz w:val="28"/>
        </w:rPr>
        <w:t xml:space="preserve">2-9-2  </w:t>
      </w:r>
      <w:r w:rsidRPr="00AE0D77">
        <w:rPr>
          <w:rFonts w:eastAsia="標楷體"/>
          <w:b/>
          <w:bCs/>
          <w:sz w:val="28"/>
        </w:rPr>
        <w:t>主要國家失業率比較</w:t>
      </w:r>
    </w:p>
    <w:p w:rsidR="00742CC2" w:rsidRPr="00AE0D77" w:rsidRDefault="00742CC2" w:rsidP="00742CC2">
      <w:pPr>
        <w:widowControl/>
        <w:snapToGrid w:val="0"/>
        <w:spacing w:line="300" w:lineRule="atLeast"/>
        <w:ind w:right="-816"/>
        <w:jc w:val="right"/>
        <w:rPr>
          <w:rFonts w:eastAsia="標楷體"/>
          <w:kern w:val="0"/>
          <w:sz w:val="22"/>
          <w:szCs w:val="22"/>
        </w:rPr>
      </w:pPr>
      <w:r w:rsidRPr="00AE0D77">
        <w:rPr>
          <w:rFonts w:eastAsia="標楷體"/>
          <w:kern w:val="0"/>
          <w:sz w:val="22"/>
        </w:rPr>
        <w:t xml:space="preserve">                                    </w:t>
      </w:r>
      <w:r w:rsidRPr="00AE0D77">
        <w:rPr>
          <w:rFonts w:eastAsia="標楷體"/>
          <w:kern w:val="0"/>
          <w:sz w:val="22"/>
          <w:szCs w:val="22"/>
        </w:rPr>
        <w:t xml:space="preserve">  </w:t>
      </w:r>
      <w:r w:rsidRPr="00AE0D77">
        <w:rPr>
          <w:rFonts w:eastAsia="標楷體"/>
          <w:kern w:val="0"/>
          <w:sz w:val="22"/>
          <w:szCs w:val="22"/>
        </w:rPr>
        <w:t>單位：</w:t>
      </w:r>
      <w:r w:rsidRPr="00AE0D77">
        <w:rPr>
          <w:rFonts w:eastAsia="標楷體"/>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8"/>
        <w:gridCol w:w="558"/>
        <w:gridCol w:w="561"/>
        <w:gridCol w:w="561"/>
        <w:gridCol w:w="561"/>
        <w:gridCol w:w="562"/>
        <w:gridCol w:w="561"/>
        <w:gridCol w:w="561"/>
        <w:gridCol w:w="561"/>
        <w:gridCol w:w="561"/>
        <w:gridCol w:w="562"/>
        <w:gridCol w:w="618"/>
        <w:gridCol w:w="618"/>
        <w:gridCol w:w="619"/>
        <w:gridCol w:w="618"/>
        <w:gridCol w:w="619"/>
        <w:gridCol w:w="1483"/>
      </w:tblGrid>
      <w:tr w:rsidR="00742CC2" w:rsidRPr="00AE0D77" w:rsidTr="0099145A">
        <w:trPr>
          <w:cantSplit/>
          <w:trHeight w:val="343"/>
          <w:jc w:val="center"/>
        </w:trPr>
        <w:tc>
          <w:tcPr>
            <w:tcW w:w="978" w:type="dxa"/>
            <w:vMerge w:val="restart"/>
            <w:tcBorders>
              <w:top w:val="single" w:sz="4" w:space="0" w:color="auto"/>
              <w:left w:val="nil"/>
              <w:tl2br w:val="single" w:sz="4" w:space="0" w:color="auto"/>
            </w:tcBorders>
          </w:tcPr>
          <w:p w:rsidR="00742CC2" w:rsidRPr="00AE0D77"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742CC2" w:rsidRPr="00AE0D77" w:rsidRDefault="00742CC2" w:rsidP="00590BB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10</w:t>
            </w:r>
            <w:r w:rsidR="00590BB0" w:rsidRPr="00AE0D77">
              <w:rPr>
                <w:rFonts w:eastAsia="標楷體"/>
                <w:spacing w:val="-24"/>
                <w:sz w:val="20"/>
              </w:rPr>
              <w:t>4</w:t>
            </w:r>
            <w:r w:rsidRPr="00AE0D77">
              <w:rPr>
                <w:rFonts w:eastAsia="標楷體"/>
                <w:spacing w:val="-24"/>
                <w:sz w:val="20"/>
              </w:rPr>
              <w:t>年</w:t>
            </w:r>
          </w:p>
        </w:tc>
        <w:tc>
          <w:tcPr>
            <w:tcW w:w="5051" w:type="dxa"/>
            <w:gridSpan w:val="9"/>
            <w:tcBorders>
              <w:top w:val="single" w:sz="4" w:space="0" w:color="auto"/>
              <w:left w:val="single" w:sz="4" w:space="0" w:color="auto"/>
              <w:right w:val="single" w:sz="4" w:space="0" w:color="auto"/>
            </w:tcBorders>
            <w:vAlign w:val="center"/>
          </w:tcPr>
          <w:p w:rsidR="00742CC2" w:rsidRPr="00AE0D77" w:rsidRDefault="00742CC2" w:rsidP="00590BB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10</w:t>
            </w:r>
            <w:r w:rsidR="00590BB0" w:rsidRPr="00AE0D77">
              <w:rPr>
                <w:rFonts w:eastAsia="標楷體"/>
                <w:spacing w:val="-24"/>
                <w:sz w:val="20"/>
              </w:rPr>
              <w:t>5</w:t>
            </w:r>
            <w:r w:rsidRPr="00AE0D77">
              <w:rPr>
                <w:rFonts w:eastAsia="標楷體"/>
                <w:spacing w:val="-24"/>
                <w:sz w:val="20"/>
              </w:rPr>
              <w:t>年</w:t>
            </w:r>
          </w:p>
        </w:tc>
        <w:tc>
          <w:tcPr>
            <w:tcW w:w="3092" w:type="dxa"/>
            <w:gridSpan w:val="5"/>
            <w:tcBorders>
              <w:top w:val="single" w:sz="4" w:space="0" w:color="auto"/>
              <w:left w:val="single" w:sz="4" w:space="0" w:color="auto"/>
              <w:right w:val="single" w:sz="4" w:space="0" w:color="auto"/>
            </w:tcBorders>
            <w:vAlign w:val="center"/>
          </w:tcPr>
          <w:p w:rsidR="00742CC2" w:rsidRPr="00AE0D77" w:rsidRDefault="00742CC2" w:rsidP="00590BB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10</w:t>
            </w:r>
            <w:r w:rsidR="00590BB0" w:rsidRPr="00AE0D77">
              <w:rPr>
                <w:rFonts w:eastAsia="標楷體"/>
                <w:spacing w:val="-24"/>
                <w:sz w:val="20"/>
              </w:rPr>
              <w:t>6</w:t>
            </w:r>
            <w:r w:rsidRPr="00AE0D77">
              <w:rPr>
                <w:rFonts w:eastAsia="標楷體"/>
                <w:spacing w:val="-24"/>
                <w:sz w:val="20"/>
              </w:rPr>
              <w:t>年</w:t>
            </w:r>
          </w:p>
        </w:tc>
        <w:tc>
          <w:tcPr>
            <w:tcW w:w="1483" w:type="dxa"/>
            <w:vMerge w:val="restart"/>
            <w:tcBorders>
              <w:top w:val="single" w:sz="4" w:space="0" w:color="auto"/>
              <w:left w:val="single" w:sz="4" w:space="0" w:color="auto"/>
              <w:right w:val="nil"/>
            </w:tcBorders>
            <w:vAlign w:val="center"/>
          </w:tcPr>
          <w:p w:rsidR="00742CC2" w:rsidRPr="00AE0D77" w:rsidRDefault="00742CC2"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AE0D77">
              <w:rPr>
                <w:rFonts w:eastAsia="標楷體"/>
                <w:spacing w:val="-24"/>
                <w:sz w:val="20"/>
              </w:rPr>
              <w:t>上年當月</w:t>
            </w:r>
          </w:p>
          <w:p w:rsidR="00742CC2" w:rsidRPr="00AE0D77" w:rsidRDefault="00742CC2" w:rsidP="0099145A">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w:t>
            </w:r>
            <w:r w:rsidRPr="00AE0D77">
              <w:rPr>
                <w:rFonts w:eastAsia="標楷體"/>
                <w:spacing w:val="-24"/>
                <w:sz w:val="20"/>
              </w:rPr>
              <w:t>變動百分點</w:t>
            </w:r>
            <w:r w:rsidRPr="00AE0D77">
              <w:rPr>
                <w:rFonts w:eastAsia="標楷體"/>
                <w:spacing w:val="-24"/>
                <w:sz w:val="20"/>
              </w:rPr>
              <w:t>*</w:t>
            </w:r>
            <w:r w:rsidRPr="00AE0D77">
              <w:rPr>
                <w:rFonts w:eastAsia="標楷體"/>
                <w:spacing w:val="-24"/>
                <w:sz w:val="20"/>
              </w:rPr>
              <w:t>）</w:t>
            </w:r>
          </w:p>
        </w:tc>
      </w:tr>
      <w:tr w:rsidR="00AD52B9" w:rsidRPr="00AE0D77" w:rsidTr="0099145A">
        <w:trPr>
          <w:cantSplit/>
          <w:trHeight w:val="324"/>
          <w:jc w:val="center"/>
        </w:trPr>
        <w:tc>
          <w:tcPr>
            <w:tcW w:w="978" w:type="dxa"/>
            <w:vMerge/>
            <w:tcBorders>
              <w:left w:val="nil"/>
              <w:bottom w:val="single" w:sz="4" w:space="0" w:color="auto"/>
              <w:tl2br w:val="single" w:sz="4" w:space="0" w:color="auto"/>
            </w:tcBorders>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5</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6</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7</w:t>
            </w:r>
            <w:r w:rsidRPr="00AE0D77">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8</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9</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10</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11</w:t>
            </w:r>
            <w:r w:rsidRPr="00AE0D77">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12</w:t>
            </w:r>
            <w:r w:rsidRPr="00AE0D77">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全年</w:t>
            </w:r>
          </w:p>
        </w:tc>
        <w:tc>
          <w:tcPr>
            <w:tcW w:w="618"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1</w:t>
            </w:r>
            <w:r w:rsidRPr="00AE0D77">
              <w:rPr>
                <w:rFonts w:eastAsia="標楷體"/>
                <w:spacing w:val="-24"/>
                <w:sz w:val="20"/>
              </w:rPr>
              <w:t>月</w:t>
            </w:r>
          </w:p>
        </w:tc>
        <w:tc>
          <w:tcPr>
            <w:tcW w:w="618"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2</w:t>
            </w:r>
            <w:r w:rsidRPr="00AE0D77">
              <w:rPr>
                <w:rFonts w:eastAsia="標楷體"/>
                <w:spacing w:val="-24"/>
                <w:sz w:val="20"/>
              </w:rPr>
              <w:t>月</w:t>
            </w:r>
          </w:p>
        </w:tc>
        <w:tc>
          <w:tcPr>
            <w:tcW w:w="619"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3</w:t>
            </w:r>
            <w:r w:rsidRPr="00AE0D77">
              <w:rPr>
                <w:rFonts w:eastAsia="標楷體"/>
                <w:spacing w:val="-24"/>
                <w:sz w:val="20"/>
              </w:rPr>
              <w:t>月</w:t>
            </w:r>
          </w:p>
        </w:tc>
        <w:tc>
          <w:tcPr>
            <w:tcW w:w="618" w:type="dxa"/>
            <w:tcBorders>
              <w:left w:val="single" w:sz="4" w:space="0" w:color="auto"/>
              <w:bottom w:val="single" w:sz="4" w:space="0" w:color="auto"/>
              <w:right w:val="single" w:sz="4" w:space="0" w:color="auto"/>
            </w:tcBorders>
            <w:vAlign w:val="center"/>
          </w:tcPr>
          <w:p w:rsidR="00AD52B9" w:rsidRPr="00AE0D77" w:rsidRDefault="00AD52B9" w:rsidP="004F4AF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4</w:t>
            </w:r>
            <w:r w:rsidRPr="00AE0D77">
              <w:rPr>
                <w:rFonts w:eastAsia="標楷體"/>
                <w:spacing w:val="-24"/>
                <w:sz w:val="20"/>
              </w:rPr>
              <w:t>月</w:t>
            </w:r>
          </w:p>
        </w:tc>
        <w:tc>
          <w:tcPr>
            <w:tcW w:w="619" w:type="dxa"/>
            <w:tcBorders>
              <w:left w:val="single" w:sz="4" w:space="0" w:color="auto"/>
              <w:bottom w:val="single" w:sz="4" w:space="0" w:color="auto"/>
              <w:right w:val="single" w:sz="4" w:space="0" w:color="auto"/>
            </w:tcBorders>
            <w:vAlign w:val="center"/>
          </w:tcPr>
          <w:p w:rsidR="00AD52B9" w:rsidRPr="00AE0D77" w:rsidRDefault="00AD52B9" w:rsidP="00AD52B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AE0D77">
              <w:rPr>
                <w:rFonts w:eastAsia="標楷體"/>
                <w:spacing w:val="-24"/>
                <w:sz w:val="20"/>
              </w:rPr>
              <w:t>5</w:t>
            </w:r>
            <w:r w:rsidRPr="00AE0D77">
              <w:rPr>
                <w:rFonts w:eastAsia="標楷體"/>
                <w:spacing w:val="-24"/>
                <w:sz w:val="20"/>
              </w:rPr>
              <w:t>月</w:t>
            </w:r>
          </w:p>
        </w:tc>
        <w:tc>
          <w:tcPr>
            <w:tcW w:w="1483" w:type="dxa"/>
            <w:vMerge/>
            <w:tcBorders>
              <w:left w:val="single" w:sz="4" w:space="0" w:color="auto"/>
              <w:bottom w:val="single" w:sz="4" w:space="0" w:color="auto"/>
              <w:right w:val="nil"/>
            </w:tcBorders>
            <w:vAlign w:val="center"/>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AD52B9" w:rsidRPr="00AE0D77" w:rsidTr="004F4AF1">
        <w:trPr>
          <w:cantSplit/>
          <w:jc w:val="center"/>
        </w:trPr>
        <w:tc>
          <w:tcPr>
            <w:tcW w:w="978" w:type="dxa"/>
            <w:tcBorders>
              <w:left w:val="nil"/>
              <w:bottom w:val="nil"/>
            </w:tcBorders>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臺灣</w:t>
            </w:r>
          </w:p>
        </w:tc>
        <w:tc>
          <w:tcPr>
            <w:tcW w:w="558"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3.78</w:t>
            </w:r>
          </w:p>
        </w:tc>
        <w:tc>
          <w:tcPr>
            <w:tcW w:w="561"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3.96</w:t>
            </w:r>
          </w:p>
        </w:tc>
        <w:tc>
          <w:tcPr>
            <w:tcW w:w="561"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3.96</w:t>
            </w:r>
          </w:p>
        </w:tc>
        <w:tc>
          <w:tcPr>
            <w:tcW w:w="561"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3.95</w:t>
            </w:r>
          </w:p>
        </w:tc>
        <w:tc>
          <w:tcPr>
            <w:tcW w:w="562"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3.94</w:t>
            </w:r>
          </w:p>
        </w:tc>
        <w:tc>
          <w:tcPr>
            <w:tcW w:w="561"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3.91</w:t>
            </w:r>
          </w:p>
        </w:tc>
        <w:tc>
          <w:tcPr>
            <w:tcW w:w="561"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3.88</w:t>
            </w:r>
          </w:p>
        </w:tc>
        <w:tc>
          <w:tcPr>
            <w:tcW w:w="561"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3.84</w:t>
            </w:r>
          </w:p>
        </w:tc>
        <w:tc>
          <w:tcPr>
            <w:tcW w:w="561"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3.83</w:t>
            </w:r>
          </w:p>
        </w:tc>
        <w:tc>
          <w:tcPr>
            <w:tcW w:w="562"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3.92</w:t>
            </w:r>
          </w:p>
        </w:tc>
        <w:tc>
          <w:tcPr>
            <w:tcW w:w="618"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3.84</w:t>
            </w:r>
          </w:p>
        </w:tc>
        <w:tc>
          <w:tcPr>
            <w:tcW w:w="618"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3.83</w:t>
            </w:r>
          </w:p>
        </w:tc>
        <w:tc>
          <w:tcPr>
            <w:tcW w:w="619"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3.84</w:t>
            </w:r>
          </w:p>
        </w:tc>
        <w:tc>
          <w:tcPr>
            <w:tcW w:w="618" w:type="dxa"/>
            <w:tcBorders>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3.78</w:t>
            </w:r>
          </w:p>
        </w:tc>
        <w:tc>
          <w:tcPr>
            <w:tcW w:w="619" w:type="dxa"/>
            <w:tcBorders>
              <w:left w:val="single" w:sz="4" w:space="0" w:color="auto"/>
              <w:bottom w:val="nil"/>
              <w:right w:val="single" w:sz="4" w:space="0" w:color="auto"/>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3.79</w:t>
            </w:r>
          </w:p>
        </w:tc>
        <w:tc>
          <w:tcPr>
            <w:tcW w:w="1483" w:type="dxa"/>
            <w:tcBorders>
              <w:left w:val="single" w:sz="4" w:space="0" w:color="auto"/>
              <w:bottom w:val="nil"/>
              <w:right w:val="nil"/>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3.96(↓0.17)</w:t>
            </w:r>
          </w:p>
        </w:tc>
      </w:tr>
      <w:tr w:rsidR="00AD52B9" w:rsidRPr="00AE0D77" w:rsidTr="004F4AF1">
        <w:trPr>
          <w:cantSplit/>
          <w:jc w:val="center"/>
        </w:trPr>
        <w:tc>
          <w:tcPr>
            <w:tcW w:w="978" w:type="dxa"/>
            <w:tcBorders>
              <w:top w:val="nil"/>
              <w:left w:val="nil"/>
              <w:bottom w:val="nil"/>
            </w:tcBorders>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香港</w:t>
            </w:r>
          </w:p>
        </w:tc>
        <w:tc>
          <w:tcPr>
            <w:tcW w:w="55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3.3</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3.4</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3.3</w:t>
            </w:r>
          </w:p>
        </w:tc>
        <w:tc>
          <w:tcPr>
            <w:tcW w:w="619"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3.2</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3.2</w:t>
            </w:r>
          </w:p>
        </w:tc>
        <w:tc>
          <w:tcPr>
            <w:tcW w:w="619" w:type="dxa"/>
            <w:tcBorders>
              <w:top w:val="nil"/>
              <w:left w:val="single" w:sz="4" w:space="0" w:color="auto"/>
              <w:bottom w:val="nil"/>
              <w:right w:val="single" w:sz="4" w:space="0" w:color="auto"/>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w:t>
            </w:r>
          </w:p>
        </w:tc>
        <w:tc>
          <w:tcPr>
            <w:tcW w:w="1483" w:type="dxa"/>
            <w:tcBorders>
              <w:top w:val="nil"/>
              <w:left w:val="single" w:sz="4" w:space="0" w:color="auto"/>
              <w:bottom w:val="nil"/>
              <w:right w:val="nil"/>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3.4(↓0.2)</w:t>
            </w:r>
          </w:p>
        </w:tc>
      </w:tr>
      <w:tr w:rsidR="00AD52B9" w:rsidRPr="00AE0D77" w:rsidTr="004F4AF1">
        <w:trPr>
          <w:cantSplit/>
          <w:jc w:val="center"/>
        </w:trPr>
        <w:tc>
          <w:tcPr>
            <w:tcW w:w="978" w:type="dxa"/>
            <w:tcBorders>
              <w:top w:val="nil"/>
              <w:left w:val="nil"/>
              <w:bottom w:val="nil"/>
            </w:tcBorders>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日本</w:t>
            </w:r>
          </w:p>
        </w:tc>
        <w:tc>
          <w:tcPr>
            <w:tcW w:w="55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3.4</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3.2</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3.1</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3.0</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3.1</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3.0</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3.0</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3.1</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3.1</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3.1</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3.0</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2.8</w:t>
            </w:r>
          </w:p>
        </w:tc>
        <w:tc>
          <w:tcPr>
            <w:tcW w:w="619"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2.8</w:t>
            </w:r>
          </w:p>
        </w:tc>
        <w:tc>
          <w:tcPr>
            <w:tcW w:w="618" w:type="dxa"/>
            <w:tcBorders>
              <w:top w:val="nil"/>
              <w:left w:val="single" w:sz="4" w:space="0" w:color="auto"/>
              <w:bottom w:val="nil"/>
              <w:right w:val="single" w:sz="4" w:space="0" w:color="auto"/>
            </w:tcBorders>
          </w:tcPr>
          <w:p w:rsidR="00AD52B9" w:rsidRPr="00AE0D77" w:rsidRDefault="00C712C2"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2.8</w:t>
            </w:r>
          </w:p>
        </w:tc>
        <w:tc>
          <w:tcPr>
            <w:tcW w:w="619" w:type="dxa"/>
            <w:tcBorders>
              <w:top w:val="nil"/>
              <w:left w:val="single" w:sz="4" w:space="0" w:color="auto"/>
              <w:bottom w:val="nil"/>
              <w:right w:val="single" w:sz="4" w:space="0" w:color="auto"/>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w:t>
            </w:r>
          </w:p>
        </w:tc>
        <w:tc>
          <w:tcPr>
            <w:tcW w:w="1483" w:type="dxa"/>
            <w:tcBorders>
              <w:top w:val="nil"/>
              <w:left w:val="single" w:sz="4" w:space="0" w:color="auto"/>
              <w:bottom w:val="nil"/>
              <w:right w:val="nil"/>
            </w:tcBorders>
          </w:tcPr>
          <w:p w:rsidR="00AD52B9" w:rsidRPr="00AE0D77" w:rsidRDefault="0052106F"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3.2</w:t>
            </w:r>
            <w:r w:rsidR="00AD52B9" w:rsidRPr="00AE0D77">
              <w:rPr>
                <w:rFonts w:eastAsia="標楷體"/>
                <w:sz w:val="20"/>
              </w:rPr>
              <w:t>(↓</w:t>
            </w:r>
            <w:r w:rsidRPr="00AE0D77">
              <w:rPr>
                <w:rFonts w:eastAsia="標楷體"/>
                <w:sz w:val="20"/>
              </w:rPr>
              <w:t>0.4</w:t>
            </w:r>
            <w:r w:rsidR="00AD52B9" w:rsidRPr="00AE0D77">
              <w:rPr>
                <w:rFonts w:eastAsia="標楷體"/>
                <w:sz w:val="20"/>
              </w:rPr>
              <w:t>)</w:t>
            </w:r>
          </w:p>
        </w:tc>
      </w:tr>
      <w:tr w:rsidR="00AD52B9" w:rsidRPr="00AE0D77" w:rsidTr="004F4AF1">
        <w:trPr>
          <w:cantSplit/>
          <w:jc w:val="center"/>
        </w:trPr>
        <w:tc>
          <w:tcPr>
            <w:tcW w:w="978" w:type="dxa"/>
            <w:tcBorders>
              <w:top w:val="nil"/>
              <w:left w:val="nil"/>
              <w:bottom w:val="nil"/>
            </w:tcBorders>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南韓</w:t>
            </w:r>
          </w:p>
        </w:tc>
        <w:tc>
          <w:tcPr>
            <w:tcW w:w="55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3.7</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3.6</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3.8</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3.6</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3.4</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3.6</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619"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p>
        </w:tc>
        <w:tc>
          <w:tcPr>
            <w:tcW w:w="618" w:type="dxa"/>
            <w:tcBorders>
              <w:top w:val="nil"/>
              <w:left w:val="single" w:sz="4" w:space="0" w:color="auto"/>
              <w:bottom w:val="nil"/>
              <w:right w:val="single" w:sz="4" w:space="0" w:color="auto"/>
            </w:tcBorders>
          </w:tcPr>
          <w:p w:rsidR="00AD52B9" w:rsidRPr="00AE0D77" w:rsidRDefault="00C712C2"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619" w:type="dxa"/>
            <w:tcBorders>
              <w:top w:val="nil"/>
              <w:left w:val="single" w:sz="4" w:space="0" w:color="auto"/>
              <w:bottom w:val="nil"/>
              <w:right w:val="single" w:sz="4" w:space="0" w:color="auto"/>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w:t>
            </w:r>
          </w:p>
        </w:tc>
        <w:tc>
          <w:tcPr>
            <w:tcW w:w="1483" w:type="dxa"/>
            <w:tcBorders>
              <w:top w:val="nil"/>
              <w:left w:val="single" w:sz="4" w:space="0" w:color="auto"/>
              <w:bottom w:val="nil"/>
              <w:right w:val="nil"/>
            </w:tcBorders>
          </w:tcPr>
          <w:p w:rsidR="00AD52B9" w:rsidRPr="00AE0D77" w:rsidRDefault="00AD52B9"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3.7(</w:t>
            </w:r>
            <w:r w:rsidR="0052106F" w:rsidRPr="00AE0D77">
              <w:rPr>
                <w:rFonts w:eastAsia="標楷體"/>
                <w:sz w:val="20"/>
              </w:rPr>
              <w:t>↑0.3</w:t>
            </w:r>
            <w:r w:rsidRPr="00AE0D77">
              <w:rPr>
                <w:rFonts w:eastAsia="標楷體"/>
                <w:sz w:val="20"/>
              </w:rPr>
              <w:t xml:space="preserve"> )</w:t>
            </w:r>
          </w:p>
        </w:tc>
      </w:tr>
      <w:tr w:rsidR="00AD52B9" w:rsidRPr="00AE0D77" w:rsidTr="004F4AF1">
        <w:trPr>
          <w:cantSplit/>
          <w:jc w:val="center"/>
        </w:trPr>
        <w:tc>
          <w:tcPr>
            <w:tcW w:w="978" w:type="dxa"/>
            <w:tcBorders>
              <w:top w:val="nil"/>
              <w:left w:val="nil"/>
              <w:bottom w:val="nil"/>
            </w:tcBorders>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新加坡</w:t>
            </w:r>
          </w:p>
        </w:tc>
        <w:tc>
          <w:tcPr>
            <w:tcW w:w="55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1.9</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2.1</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2.1</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2.2</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2.1</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w:t>
            </w:r>
          </w:p>
        </w:tc>
        <w:tc>
          <w:tcPr>
            <w:tcW w:w="619" w:type="dxa"/>
            <w:tcBorders>
              <w:top w:val="nil"/>
              <w:left w:val="single" w:sz="4" w:space="0" w:color="auto"/>
              <w:bottom w:val="nil"/>
              <w:right w:val="single" w:sz="4" w:space="0" w:color="auto"/>
            </w:tcBorders>
          </w:tcPr>
          <w:p w:rsidR="00AD52B9" w:rsidRPr="00AE0D77" w:rsidRDefault="00AD52B9" w:rsidP="005752C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2.</w:t>
            </w:r>
            <w:r w:rsidR="005752C2" w:rsidRPr="00AE0D77">
              <w:rPr>
                <w:rFonts w:eastAsia="標楷體"/>
                <w:sz w:val="20"/>
              </w:rPr>
              <w:t>2</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w:t>
            </w:r>
          </w:p>
        </w:tc>
        <w:tc>
          <w:tcPr>
            <w:tcW w:w="619" w:type="dxa"/>
            <w:tcBorders>
              <w:top w:val="nil"/>
              <w:left w:val="single" w:sz="4" w:space="0" w:color="auto"/>
              <w:bottom w:val="nil"/>
              <w:right w:val="single" w:sz="4" w:space="0" w:color="auto"/>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w:t>
            </w:r>
          </w:p>
        </w:tc>
        <w:tc>
          <w:tcPr>
            <w:tcW w:w="1483" w:type="dxa"/>
            <w:tcBorders>
              <w:top w:val="nil"/>
              <w:left w:val="single" w:sz="4" w:space="0" w:color="auto"/>
              <w:bottom w:val="nil"/>
              <w:right w:val="nil"/>
            </w:tcBorders>
          </w:tcPr>
          <w:p w:rsidR="00AD52B9" w:rsidRPr="00AE0D77" w:rsidRDefault="000B1BA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1.9</w:t>
            </w:r>
            <w:r w:rsidR="00AD52B9" w:rsidRPr="00AE0D77">
              <w:rPr>
                <w:rFonts w:eastAsia="標楷體"/>
                <w:sz w:val="20"/>
              </w:rPr>
              <w:t>(↑</w:t>
            </w:r>
            <w:r w:rsidRPr="00AE0D77">
              <w:rPr>
                <w:rFonts w:eastAsia="標楷體"/>
                <w:sz w:val="20"/>
              </w:rPr>
              <w:t>0.3</w:t>
            </w:r>
            <w:r w:rsidR="00AD52B9" w:rsidRPr="00AE0D77">
              <w:rPr>
                <w:rFonts w:eastAsia="標楷體"/>
                <w:sz w:val="20"/>
              </w:rPr>
              <w:t>)</w:t>
            </w:r>
          </w:p>
        </w:tc>
      </w:tr>
      <w:tr w:rsidR="00AD52B9" w:rsidRPr="00AE0D77" w:rsidTr="004F4AF1">
        <w:trPr>
          <w:cantSplit/>
          <w:jc w:val="center"/>
        </w:trPr>
        <w:tc>
          <w:tcPr>
            <w:tcW w:w="978" w:type="dxa"/>
            <w:tcBorders>
              <w:top w:val="nil"/>
              <w:left w:val="nil"/>
              <w:bottom w:val="nil"/>
            </w:tcBorders>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美國</w:t>
            </w:r>
          </w:p>
        </w:tc>
        <w:tc>
          <w:tcPr>
            <w:tcW w:w="55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5.3</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4.7</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4.9</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4.9</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4.9</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5.0</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4.9</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4.6</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4.7</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4.9</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4.8</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4.7</w:t>
            </w:r>
          </w:p>
        </w:tc>
        <w:tc>
          <w:tcPr>
            <w:tcW w:w="619"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4.5</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4.4</w:t>
            </w:r>
          </w:p>
        </w:tc>
        <w:tc>
          <w:tcPr>
            <w:tcW w:w="619" w:type="dxa"/>
            <w:tcBorders>
              <w:top w:val="nil"/>
              <w:left w:val="single" w:sz="4" w:space="0" w:color="auto"/>
              <w:bottom w:val="nil"/>
              <w:right w:val="single" w:sz="4" w:space="0" w:color="auto"/>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4.3</w:t>
            </w:r>
          </w:p>
        </w:tc>
        <w:tc>
          <w:tcPr>
            <w:tcW w:w="1483" w:type="dxa"/>
            <w:tcBorders>
              <w:top w:val="nil"/>
              <w:left w:val="single" w:sz="4" w:space="0" w:color="auto"/>
              <w:bottom w:val="nil"/>
              <w:right w:val="nil"/>
            </w:tcBorders>
          </w:tcPr>
          <w:p w:rsidR="00AD52B9" w:rsidRPr="00AE0D77" w:rsidRDefault="000B1BAD" w:rsidP="000B1B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4.7</w:t>
            </w:r>
            <w:r w:rsidR="00AD52B9" w:rsidRPr="00AE0D77">
              <w:rPr>
                <w:rFonts w:eastAsia="標楷體"/>
                <w:sz w:val="20"/>
              </w:rPr>
              <w:t>(↓0.</w:t>
            </w:r>
            <w:r w:rsidRPr="00AE0D77">
              <w:rPr>
                <w:rFonts w:eastAsia="標楷體"/>
                <w:sz w:val="20"/>
              </w:rPr>
              <w:t>4</w:t>
            </w:r>
            <w:r w:rsidR="00AD52B9" w:rsidRPr="00AE0D77">
              <w:rPr>
                <w:rFonts w:eastAsia="標楷體"/>
                <w:sz w:val="20"/>
              </w:rPr>
              <w:t>)</w:t>
            </w:r>
          </w:p>
        </w:tc>
      </w:tr>
      <w:tr w:rsidR="00AD52B9" w:rsidRPr="00AE0D77" w:rsidTr="004F4AF1">
        <w:trPr>
          <w:cantSplit/>
          <w:jc w:val="center"/>
        </w:trPr>
        <w:tc>
          <w:tcPr>
            <w:tcW w:w="978" w:type="dxa"/>
            <w:tcBorders>
              <w:top w:val="nil"/>
              <w:left w:val="nil"/>
              <w:bottom w:val="nil"/>
            </w:tcBorders>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加拿大</w:t>
            </w:r>
          </w:p>
        </w:tc>
        <w:tc>
          <w:tcPr>
            <w:tcW w:w="55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6.9</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6.9</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6.8</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7.0</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7.0</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7.0</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7.0</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6.8</w:t>
            </w:r>
          </w:p>
        </w:tc>
        <w:tc>
          <w:tcPr>
            <w:tcW w:w="561"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6.9</w:t>
            </w:r>
          </w:p>
        </w:tc>
        <w:tc>
          <w:tcPr>
            <w:tcW w:w="562"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7.0</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6.8</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6.6</w:t>
            </w:r>
          </w:p>
        </w:tc>
        <w:tc>
          <w:tcPr>
            <w:tcW w:w="619"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6.7</w:t>
            </w:r>
          </w:p>
        </w:tc>
        <w:tc>
          <w:tcPr>
            <w:tcW w:w="618" w:type="dxa"/>
            <w:tcBorders>
              <w:top w:val="nil"/>
              <w:left w:val="single" w:sz="4" w:space="0" w:color="auto"/>
              <w:bottom w:val="nil"/>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6.5</w:t>
            </w:r>
          </w:p>
        </w:tc>
        <w:tc>
          <w:tcPr>
            <w:tcW w:w="619" w:type="dxa"/>
            <w:tcBorders>
              <w:top w:val="nil"/>
              <w:left w:val="single" w:sz="4" w:space="0" w:color="auto"/>
              <w:bottom w:val="nil"/>
              <w:right w:val="single" w:sz="4" w:space="0" w:color="auto"/>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6.6</w:t>
            </w:r>
          </w:p>
        </w:tc>
        <w:tc>
          <w:tcPr>
            <w:tcW w:w="1483" w:type="dxa"/>
            <w:tcBorders>
              <w:top w:val="nil"/>
              <w:left w:val="single" w:sz="4" w:space="0" w:color="auto"/>
              <w:bottom w:val="nil"/>
              <w:right w:val="nil"/>
            </w:tcBorders>
          </w:tcPr>
          <w:p w:rsidR="00AD52B9" w:rsidRPr="00AE0D77" w:rsidRDefault="00AD52B9" w:rsidP="000B1B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6.</w:t>
            </w:r>
            <w:r w:rsidR="000B1BAD" w:rsidRPr="00AE0D77">
              <w:rPr>
                <w:rFonts w:eastAsia="標楷體"/>
                <w:sz w:val="20"/>
              </w:rPr>
              <w:t>9</w:t>
            </w:r>
            <w:r w:rsidRPr="00AE0D77">
              <w:rPr>
                <w:rFonts w:eastAsia="標楷體"/>
                <w:sz w:val="20"/>
              </w:rPr>
              <w:t>(</w:t>
            </w:r>
            <w:r w:rsidR="000B1BAD" w:rsidRPr="00AE0D77">
              <w:rPr>
                <w:rFonts w:eastAsia="標楷體"/>
                <w:sz w:val="20"/>
              </w:rPr>
              <w:t>↓0.3</w:t>
            </w:r>
            <w:r w:rsidRPr="00AE0D77">
              <w:rPr>
                <w:rFonts w:eastAsia="標楷體"/>
                <w:sz w:val="20"/>
              </w:rPr>
              <w:t>)</w:t>
            </w:r>
          </w:p>
        </w:tc>
      </w:tr>
      <w:tr w:rsidR="00AD52B9" w:rsidRPr="00AE0D77" w:rsidTr="004F4AF1">
        <w:trPr>
          <w:cantSplit/>
          <w:jc w:val="center"/>
        </w:trPr>
        <w:tc>
          <w:tcPr>
            <w:tcW w:w="978" w:type="dxa"/>
            <w:tcBorders>
              <w:top w:val="nil"/>
              <w:left w:val="nil"/>
              <w:bottom w:val="single" w:sz="4" w:space="0" w:color="auto"/>
            </w:tcBorders>
          </w:tcPr>
          <w:p w:rsidR="00AD52B9" w:rsidRPr="00AE0D77" w:rsidRDefault="00AD52B9"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AE0D77">
              <w:rPr>
                <w:rFonts w:eastAsia="標楷體"/>
              </w:rPr>
              <w:t>德國</w:t>
            </w:r>
          </w:p>
        </w:tc>
        <w:tc>
          <w:tcPr>
            <w:tcW w:w="558"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AE0D77">
              <w:rPr>
                <w:rFonts w:eastAsia="標楷體"/>
                <w:sz w:val="20"/>
              </w:rPr>
              <w:t>4.6</w:t>
            </w:r>
          </w:p>
        </w:tc>
        <w:tc>
          <w:tcPr>
            <w:tcW w:w="561"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4.2</w:t>
            </w:r>
          </w:p>
        </w:tc>
        <w:tc>
          <w:tcPr>
            <w:tcW w:w="561"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4.2</w:t>
            </w:r>
          </w:p>
        </w:tc>
        <w:tc>
          <w:tcPr>
            <w:tcW w:w="561"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4.2</w:t>
            </w:r>
          </w:p>
        </w:tc>
        <w:tc>
          <w:tcPr>
            <w:tcW w:w="562"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AE0D77">
              <w:rPr>
                <w:rFonts w:eastAsia="標楷體"/>
                <w:sz w:val="20"/>
              </w:rPr>
              <w:t>4.1</w:t>
            </w:r>
          </w:p>
        </w:tc>
        <w:tc>
          <w:tcPr>
            <w:tcW w:w="561"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4.1</w:t>
            </w:r>
          </w:p>
        </w:tc>
        <w:tc>
          <w:tcPr>
            <w:tcW w:w="561"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4.0</w:t>
            </w:r>
          </w:p>
        </w:tc>
        <w:tc>
          <w:tcPr>
            <w:tcW w:w="561"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561"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562"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4.1</w:t>
            </w:r>
          </w:p>
        </w:tc>
        <w:tc>
          <w:tcPr>
            <w:tcW w:w="618"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18"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19" w:type="dxa"/>
            <w:tcBorders>
              <w:top w:val="nil"/>
              <w:left w:val="single" w:sz="4" w:space="0" w:color="auto"/>
              <w:bottom w:val="single" w:sz="4" w:space="0" w:color="auto"/>
              <w:right w:val="single" w:sz="4" w:space="0" w:color="auto"/>
            </w:tcBorders>
          </w:tcPr>
          <w:p w:rsidR="00AD52B9" w:rsidRPr="00AE0D77" w:rsidRDefault="00AD52B9"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18" w:type="dxa"/>
            <w:tcBorders>
              <w:top w:val="nil"/>
              <w:left w:val="single" w:sz="4" w:space="0" w:color="auto"/>
              <w:bottom w:val="single" w:sz="4" w:space="0" w:color="auto"/>
              <w:right w:val="single" w:sz="4" w:space="0" w:color="auto"/>
            </w:tcBorders>
          </w:tcPr>
          <w:p w:rsidR="00AD52B9" w:rsidRPr="00AE0D77" w:rsidRDefault="00C712C2" w:rsidP="004F4AF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3.9</w:t>
            </w:r>
          </w:p>
        </w:tc>
        <w:tc>
          <w:tcPr>
            <w:tcW w:w="619" w:type="dxa"/>
            <w:tcBorders>
              <w:top w:val="nil"/>
              <w:left w:val="single" w:sz="4" w:space="0" w:color="auto"/>
              <w:bottom w:val="single" w:sz="4" w:space="0" w:color="auto"/>
              <w:right w:val="single" w:sz="4" w:space="0" w:color="auto"/>
            </w:tcBorders>
          </w:tcPr>
          <w:p w:rsidR="00AD52B9" w:rsidRPr="00AE0D77" w:rsidRDefault="00AD52B9" w:rsidP="00AD52B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AE0D77">
              <w:rPr>
                <w:rFonts w:eastAsia="標楷體"/>
                <w:sz w:val="20"/>
              </w:rPr>
              <w:t>-</w:t>
            </w:r>
          </w:p>
        </w:tc>
        <w:tc>
          <w:tcPr>
            <w:tcW w:w="1483" w:type="dxa"/>
            <w:tcBorders>
              <w:top w:val="nil"/>
              <w:left w:val="single" w:sz="4" w:space="0" w:color="auto"/>
              <w:bottom w:val="single" w:sz="4" w:space="0" w:color="auto"/>
              <w:right w:val="nil"/>
            </w:tcBorders>
          </w:tcPr>
          <w:p w:rsidR="00AD52B9" w:rsidRPr="00AE0D77" w:rsidRDefault="00220EEC" w:rsidP="000B1BA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E0D77">
              <w:rPr>
                <w:rFonts w:eastAsia="標楷體"/>
                <w:sz w:val="20"/>
              </w:rPr>
              <w:t>4.3</w:t>
            </w:r>
            <w:r w:rsidR="00AD52B9" w:rsidRPr="00AE0D77">
              <w:rPr>
                <w:rFonts w:eastAsia="標楷體"/>
                <w:sz w:val="20"/>
              </w:rPr>
              <w:t>(↓0.</w:t>
            </w:r>
            <w:r w:rsidRPr="00AE0D77">
              <w:rPr>
                <w:rFonts w:eastAsia="標楷體"/>
                <w:sz w:val="20"/>
              </w:rPr>
              <w:t>4</w:t>
            </w:r>
            <w:r w:rsidR="00AD52B9" w:rsidRPr="00AE0D77">
              <w:rPr>
                <w:rFonts w:eastAsia="標楷體"/>
                <w:sz w:val="20"/>
              </w:rPr>
              <w:t>)</w:t>
            </w:r>
          </w:p>
        </w:tc>
      </w:tr>
    </w:tbl>
    <w:p w:rsidR="00742CC2" w:rsidRPr="00AE0D77" w:rsidRDefault="00742CC2" w:rsidP="00742CC2">
      <w:pPr>
        <w:widowControl/>
        <w:snapToGrid w:val="0"/>
        <w:spacing w:line="320" w:lineRule="atLeast"/>
        <w:ind w:right="250"/>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各國失業率為季節調整後資料。</w:t>
      </w:r>
      <w:r w:rsidRPr="00AE0D77">
        <w:rPr>
          <w:rFonts w:eastAsia="標楷體"/>
          <w:sz w:val="22"/>
          <w:szCs w:val="22"/>
        </w:rPr>
        <w:t xml:space="preserve"> </w:t>
      </w:r>
    </w:p>
    <w:p w:rsidR="00742CC2" w:rsidRPr="00AE0D77" w:rsidRDefault="00742CC2" w:rsidP="00742CC2">
      <w:pPr>
        <w:widowControl/>
        <w:snapToGrid w:val="0"/>
        <w:spacing w:line="320" w:lineRule="atLeast"/>
        <w:ind w:right="250"/>
        <w:jc w:val="both"/>
        <w:rPr>
          <w:rFonts w:eastAsia="標楷體"/>
          <w:kern w:val="0"/>
          <w:sz w:val="22"/>
          <w:szCs w:val="22"/>
        </w:rPr>
      </w:pPr>
      <w:r w:rsidRPr="00AE0D77">
        <w:rPr>
          <w:rFonts w:eastAsia="標楷體"/>
          <w:kern w:val="0"/>
          <w:sz w:val="22"/>
          <w:szCs w:val="22"/>
        </w:rPr>
        <w:t xml:space="preserve">    2.</w:t>
      </w:r>
      <w:r w:rsidRPr="00AE0D77">
        <w:rPr>
          <w:rFonts w:eastAsia="標楷體"/>
          <w:kern w:val="0"/>
          <w:sz w:val="22"/>
          <w:szCs w:val="22"/>
        </w:rPr>
        <w:t>香港失業率係</w:t>
      </w:r>
      <w:r w:rsidRPr="00AE0D77">
        <w:rPr>
          <w:rFonts w:eastAsia="標楷體"/>
          <w:kern w:val="0"/>
          <w:sz w:val="22"/>
          <w:szCs w:val="22"/>
        </w:rPr>
        <w:t>3</w:t>
      </w:r>
      <w:r w:rsidRPr="00AE0D77">
        <w:rPr>
          <w:rFonts w:eastAsia="標楷體"/>
          <w:kern w:val="0"/>
          <w:sz w:val="22"/>
          <w:szCs w:val="22"/>
        </w:rPr>
        <w:t>個月（當月及前</w:t>
      </w:r>
      <w:r w:rsidRPr="00AE0D77">
        <w:rPr>
          <w:rFonts w:eastAsia="標楷體"/>
          <w:kern w:val="0"/>
          <w:sz w:val="22"/>
          <w:szCs w:val="22"/>
        </w:rPr>
        <w:t>2</w:t>
      </w:r>
      <w:r w:rsidRPr="00AE0D77">
        <w:rPr>
          <w:rFonts w:eastAsia="標楷體"/>
          <w:kern w:val="0"/>
          <w:sz w:val="22"/>
          <w:szCs w:val="22"/>
        </w:rPr>
        <w:t>個月）的平均值。</w:t>
      </w:r>
      <w:r w:rsidRPr="00AE0D77">
        <w:rPr>
          <w:rFonts w:eastAsia="標楷體"/>
          <w:kern w:val="0"/>
          <w:sz w:val="22"/>
          <w:szCs w:val="22"/>
        </w:rPr>
        <w:t xml:space="preserve"> </w:t>
      </w:r>
    </w:p>
    <w:p w:rsidR="00742CC2" w:rsidRPr="00AE0D77" w:rsidRDefault="00742CC2" w:rsidP="00742CC2">
      <w:pPr>
        <w:widowControl/>
        <w:snapToGrid w:val="0"/>
        <w:spacing w:line="320" w:lineRule="atLeast"/>
        <w:ind w:right="250"/>
        <w:jc w:val="both"/>
        <w:rPr>
          <w:rFonts w:eastAsia="標楷體"/>
          <w:kern w:val="0"/>
          <w:sz w:val="22"/>
          <w:szCs w:val="22"/>
        </w:rPr>
      </w:pPr>
      <w:r w:rsidRPr="00AE0D77">
        <w:rPr>
          <w:rFonts w:eastAsia="標楷體"/>
          <w:kern w:val="0"/>
          <w:sz w:val="22"/>
          <w:szCs w:val="22"/>
        </w:rPr>
        <w:t xml:space="preserve">   3.</w:t>
      </w:r>
      <w:r w:rsidRPr="00AE0D77">
        <w:rPr>
          <w:rFonts w:eastAsia="標楷體"/>
          <w:kern w:val="0"/>
          <w:sz w:val="22"/>
          <w:szCs w:val="22"/>
        </w:rPr>
        <w:t>＊為最新月份失業率與上年同月相較。</w:t>
      </w:r>
    </w:p>
    <w:p w:rsidR="00742CC2" w:rsidRPr="00AE0D77" w:rsidRDefault="00742CC2" w:rsidP="00742CC2">
      <w:pPr>
        <w:widowControl/>
        <w:snapToGrid w:val="0"/>
        <w:spacing w:line="320" w:lineRule="atLeast"/>
        <w:ind w:right="-334"/>
        <w:jc w:val="both"/>
        <w:rPr>
          <w:rFonts w:eastAsia="標楷體"/>
          <w:kern w:val="0"/>
          <w:sz w:val="22"/>
          <w:szCs w:val="22"/>
        </w:rPr>
      </w:pPr>
      <w:r w:rsidRPr="00AE0D77">
        <w:rPr>
          <w:rFonts w:eastAsia="標楷體"/>
          <w:kern w:val="0"/>
          <w:sz w:val="22"/>
          <w:szCs w:val="22"/>
        </w:rPr>
        <w:t>資料來源：行政院主計總處「人力資源統計月報」。</w:t>
      </w:r>
    </w:p>
    <w:p w:rsidR="00742CC2" w:rsidRPr="00AE0D77" w:rsidRDefault="00742CC2" w:rsidP="00742CC2">
      <w:pPr>
        <w:widowControl/>
        <w:snapToGrid w:val="0"/>
        <w:spacing w:line="320" w:lineRule="atLeast"/>
        <w:ind w:right="-334"/>
        <w:jc w:val="both"/>
        <w:rPr>
          <w:rFonts w:eastAsia="標楷體"/>
          <w:kern w:val="0"/>
          <w:sz w:val="22"/>
        </w:rPr>
      </w:pPr>
      <w:r w:rsidRPr="00AE0D77">
        <w:rPr>
          <w:rFonts w:eastAsia="標楷體"/>
          <w:kern w:val="0"/>
        </w:rPr>
        <w:t xml:space="preserve">　　　　　</w:t>
      </w:r>
    </w:p>
    <w:p w:rsidR="00742CC2" w:rsidRPr="00AE0D77" w:rsidRDefault="00742CC2" w:rsidP="00742CC2">
      <w:pPr>
        <w:widowControl/>
        <w:snapToGrid w:val="0"/>
        <w:spacing w:line="320" w:lineRule="atLeast"/>
        <w:ind w:right="250"/>
        <w:jc w:val="both"/>
        <w:rPr>
          <w:rFonts w:eastAsia="標楷體"/>
          <w:kern w:val="0"/>
          <w:sz w:val="22"/>
        </w:rPr>
      </w:pPr>
      <w:r w:rsidRPr="00AE0D77">
        <w:rPr>
          <w:rFonts w:eastAsia="標楷體"/>
          <w:kern w:val="0"/>
          <w:sz w:val="22"/>
          <w:szCs w:val="22"/>
        </w:rPr>
        <w:t xml:space="preserve"> </w:t>
      </w:r>
    </w:p>
    <w:p w:rsidR="00742CC2" w:rsidRPr="00AE0D77" w:rsidRDefault="00742CC2" w:rsidP="00742CC2">
      <w:pPr>
        <w:widowControl/>
        <w:tabs>
          <w:tab w:val="left" w:pos="540"/>
          <w:tab w:val="right" w:pos="8669"/>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t>３、</w:t>
      </w:r>
      <w:r w:rsidRPr="00AE0D77">
        <w:rPr>
          <w:rFonts w:eastAsia="標楷體"/>
          <w:b/>
          <w:bCs/>
          <w:kern w:val="0"/>
          <w:sz w:val="28"/>
          <w:szCs w:val="20"/>
        </w:rPr>
        <w:t>10</w:t>
      </w:r>
      <w:r w:rsidR="004F4AF1" w:rsidRPr="00AE0D77">
        <w:rPr>
          <w:rFonts w:eastAsia="標楷體"/>
          <w:b/>
          <w:bCs/>
          <w:kern w:val="0"/>
          <w:sz w:val="28"/>
          <w:szCs w:val="20"/>
        </w:rPr>
        <w:t>6</w:t>
      </w:r>
      <w:r w:rsidRPr="00AE0D77">
        <w:rPr>
          <w:rFonts w:eastAsia="標楷體"/>
          <w:b/>
          <w:bCs/>
          <w:kern w:val="0"/>
          <w:sz w:val="28"/>
          <w:szCs w:val="20"/>
        </w:rPr>
        <w:t>年</w:t>
      </w:r>
      <w:r w:rsidRPr="00AE0D77">
        <w:rPr>
          <w:rFonts w:eastAsia="標楷體"/>
          <w:b/>
          <w:bCs/>
          <w:kern w:val="0"/>
          <w:sz w:val="28"/>
          <w:szCs w:val="20"/>
        </w:rPr>
        <w:t>4</w:t>
      </w:r>
      <w:r w:rsidRPr="00AE0D77">
        <w:rPr>
          <w:rFonts w:eastAsia="標楷體"/>
          <w:b/>
          <w:bCs/>
          <w:kern w:val="0"/>
          <w:sz w:val="28"/>
          <w:szCs w:val="20"/>
        </w:rPr>
        <w:t>月工業及服務業平均薪資較上年同月增加</w:t>
      </w:r>
      <w:r w:rsidR="004F4AF1" w:rsidRPr="00AE0D77">
        <w:rPr>
          <w:rFonts w:eastAsia="標楷體"/>
          <w:b/>
          <w:bCs/>
          <w:kern w:val="0"/>
          <w:sz w:val="28"/>
          <w:szCs w:val="20"/>
        </w:rPr>
        <w:t>1.83</w:t>
      </w:r>
      <w:r w:rsidRPr="00AE0D77">
        <w:rPr>
          <w:rFonts w:eastAsia="標楷體"/>
          <w:b/>
          <w:bCs/>
          <w:kern w:val="0"/>
          <w:sz w:val="28"/>
          <w:szCs w:val="20"/>
        </w:rPr>
        <w:t>%</w:t>
      </w:r>
    </w:p>
    <w:p w:rsidR="00742CC2" w:rsidRPr="00AE0D77" w:rsidRDefault="00742CC2" w:rsidP="00742CC2">
      <w:pPr>
        <w:snapToGrid w:val="0"/>
        <w:spacing w:before="50" w:line="300" w:lineRule="auto"/>
        <w:ind w:leftChars="119" w:left="569" w:rightChars="18" w:right="43" w:hangingChars="101" w:hanging="283"/>
        <w:jc w:val="both"/>
        <w:rPr>
          <w:rFonts w:eastAsia="標楷體"/>
          <w:sz w:val="28"/>
          <w:szCs w:val="32"/>
        </w:rPr>
      </w:pPr>
      <w:r w:rsidRPr="00AE0D77">
        <w:rPr>
          <w:rFonts w:eastAsia="標楷體"/>
          <w:sz w:val="28"/>
          <w:szCs w:val="32"/>
        </w:rPr>
        <w:t>－</w:t>
      </w:r>
      <w:r w:rsidRPr="00AE0D77">
        <w:rPr>
          <w:rFonts w:eastAsia="標楷體"/>
          <w:sz w:val="28"/>
          <w:szCs w:val="32"/>
        </w:rPr>
        <w:t>10</w:t>
      </w:r>
      <w:r w:rsidR="004F4AF1" w:rsidRPr="00AE0D77">
        <w:rPr>
          <w:rFonts w:eastAsia="標楷體"/>
          <w:sz w:val="28"/>
          <w:szCs w:val="32"/>
        </w:rPr>
        <w:t>6</w:t>
      </w:r>
      <w:r w:rsidRPr="00AE0D77">
        <w:rPr>
          <w:rFonts w:eastAsia="標楷體"/>
          <w:sz w:val="28"/>
          <w:szCs w:val="32"/>
        </w:rPr>
        <w:t>年</w:t>
      </w:r>
      <w:r w:rsidRPr="00AE0D77">
        <w:rPr>
          <w:rFonts w:eastAsia="標楷體"/>
          <w:sz w:val="28"/>
          <w:szCs w:val="32"/>
        </w:rPr>
        <w:t>4</w:t>
      </w:r>
      <w:r w:rsidRPr="00AE0D77">
        <w:rPr>
          <w:rFonts w:eastAsia="標楷體"/>
          <w:sz w:val="28"/>
          <w:szCs w:val="32"/>
        </w:rPr>
        <w:t>月工業及服務業每人每月平均薪資為</w:t>
      </w:r>
      <w:r w:rsidR="004F4AF1" w:rsidRPr="00AE0D77">
        <w:rPr>
          <w:rFonts w:eastAsia="標楷體"/>
          <w:sz w:val="28"/>
          <w:szCs w:val="32"/>
        </w:rPr>
        <w:t>44,359</w:t>
      </w:r>
      <w:r w:rsidRPr="00AE0D77">
        <w:rPr>
          <w:rFonts w:eastAsia="標楷體"/>
          <w:sz w:val="28"/>
          <w:szCs w:val="32"/>
        </w:rPr>
        <w:t>元，較上月</w:t>
      </w:r>
      <w:r w:rsidR="004F4AF1" w:rsidRPr="00AE0D77">
        <w:rPr>
          <w:rFonts w:eastAsia="標楷體"/>
          <w:sz w:val="28"/>
          <w:szCs w:val="32"/>
        </w:rPr>
        <w:t>增加</w:t>
      </w:r>
      <w:r w:rsidR="004F4AF1" w:rsidRPr="00AE0D77">
        <w:rPr>
          <w:rFonts w:eastAsia="標楷體"/>
          <w:sz w:val="28"/>
          <w:szCs w:val="32"/>
        </w:rPr>
        <w:t>0.49</w:t>
      </w:r>
      <w:r w:rsidRPr="00AE0D77">
        <w:rPr>
          <w:rFonts w:eastAsia="標楷體"/>
          <w:sz w:val="28"/>
          <w:szCs w:val="32"/>
        </w:rPr>
        <w:t>%</w:t>
      </w:r>
      <w:r w:rsidRPr="00AE0D77">
        <w:rPr>
          <w:rFonts w:eastAsia="標楷體"/>
          <w:sz w:val="28"/>
          <w:szCs w:val="32"/>
        </w:rPr>
        <w:t>，較上年同月</w:t>
      </w:r>
      <w:r w:rsidR="004F4AF1" w:rsidRPr="00AE0D77">
        <w:rPr>
          <w:rFonts w:eastAsia="標楷體"/>
          <w:sz w:val="28"/>
          <w:szCs w:val="32"/>
        </w:rPr>
        <w:t>亦增</w:t>
      </w:r>
      <w:r w:rsidR="004F4AF1" w:rsidRPr="00AE0D77">
        <w:rPr>
          <w:rFonts w:eastAsia="標楷體"/>
          <w:sz w:val="28"/>
          <w:szCs w:val="32"/>
        </w:rPr>
        <w:t>1.83</w:t>
      </w:r>
      <w:r w:rsidRPr="00AE0D77">
        <w:rPr>
          <w:rFonts w:eastAsia="標楷體"/>
          <w:sz w:val="28"/>
          <w:szCs w:val="32"/>
        </w:rPr>
        <w:t>%</w:t>
      </w:r>
      <w:r w:rsidRPr="00AE0D77">
        <w:rPr>
          <w:rFonts w:eastAsia="標楷體"/>
          <w:sz w:val="28"/>
          <w:szCs w:val="32"/>
        </w:rPr>
        <w:t>；其中，經常性薪資為</w:t>
      </w:r>
      <w:r w:rsidRPr="00AE0D77">
        <w:rPr>
          <w:rFonts w:eastAsia="標楷體"/>
          <w:sz w:val="28"/>
          <w:szCs w:val="32"/>
        </w:rPr>
        <w:t>39,</w:t>
      </w:r>
      <w:r w:rsidR="004F4AF1" w:rsidRPr="00AE0D77">
        <w:rPr>
          <w:rFonts w:eastAsia="標楷體"/>
          <w:sz w:val="28"/>
          <w:szCs w:val="32"/>
        </w:rPr>
        <w:t>826</w:t>
      </w:r>
      <w:r w:rsidR="00C658E7" w:rsidRPr="00AE0D77">
        <w:rPr>
          <w:rFonts w:eastAsia="標楷體"/>
          <w:sz w:val="28"/>
          <w:szCs w:val="32"/>
        </w:rPr>
        <w:t>元</w:t>
      </w:r>
      <w:r w:rsidRPr="00AE0D77">
        <w:rPr>
          <w:rFonts w:eastAsia="標楷體"/>
          <w:sz w:val="28"/>
          <w:szCs w:val="32"/>
        </w:rPr>
        <w:t>，較上年同月亦</w:t>
      </w:r>
      <w:r w:rsidR="008562AC" w:rsidRPr="00AE0D77">
        <w:rPr>
          <w:rFonts w:eastAsia="標楷體"/>
          <w:sz w:val="28"/>
          <w:szCs w:val="32"/>
        </w:rPr>
        <w:t>增</w:t>
      </w:r>
      <w:r w:rsidR="008562AC" w:rsidRPr="00AE0D77">
        <w:rPr>
          <w:rFonts w:eastAsia="標楷體"/>
          <w:sz w:val="28"/>
          <w:szCs w:val="32"/>
        </w:rPr>
        <w:t>1.49</w:t>
      </w:r>
      <w:r w:rsidRPr="00AE0D77">
        <w:rPr>
          <w:rFonts w:eastAsia="標楷體"/>
          <w:sz w:val="28"/>
          <w:szCs w:val="32"/>
        </w:rPr>
        <w:t>%</w:t>
      </w:r>
      <w:r w:rsidRPr="00AE0D77">
        <w:rPr>
          <w:rFonts w:eastAsia="標楷體"/>
          <w:sz w:val="28"/>
          <w:szCs w:val="32"/>
        </w:rPr>
        <w:t>。</w:t>
      </w:r>
    </w:p>
    <w:p w:rsidR="00742CC2" w:rsidRPr="00AE0D77" w:rsidRDefault="00742CC2" w:rsidP="00742CC2">
      <w:pPr>
        <w:snapToGrid w:val="0"/>
        <w:spacing w:before="50" w:line="300" w:lineRule="auto"/>
        <w:ind w:leftChars="119" w:left="569" w:rightChars="18" w:right="43" w:hangingChars="101" w:hanging="283"/>
        <w:jc w:val="both"/>
        <w:rPr>
          <w:rFonts w:eastAsia="標楷體"/>
          <w:sz w:val="28"/>
          <w:szCs w:val="32"/>
        </w:rPr>
      </w:pPr>
      <w:r w:rsidRPr="00AE0D77">
        <w:rPr>
          <w:rFonts w:eastAsia="標楷體"/>
          <w:sz w:val="28"/>
          <w:szCs w:val="32"/>
        </w:rPr>
        <w:t>－</w:t>
      </w:r>
      <w:r w:rsidRPr="00AE0D77">
        <w:rPr>
          <w:rFonts w:eastAsia="標楷體"/>
          <w:sz w:val="28"/>
          <w:szCs w:val="32"/>
        </w:rPr>
        <w:t>10</w:t>
      </w:r>
      <w:r w:rsidR="008562AC" w:rsidRPr="00AE0D77">
        <w:rPr>
          <w:rFonts w:eastAsia="標楷體"/>
          <w:sz w:val="28"/>
          <w:szCs w:val="32"/>
        </w:rPr>
        <w:t>6</w:t>
      </w:r>
      <w:r w:rsidRPr="00AE0D77">
        <w:rPr>
          <w:rFonts w:eastAsia="標楷體"/>
          <w:sz w:val="28"/>
          <w:szCs w:val="32"/>
        </w:rPr>
        <w:t>年</w:t>
      </w:r>
      <w:r w:rsidRPr="00AE0D77">
        <w:rPr>
          <w:rFonts w:eastAsia="標楷體"/>
          <w:sz w:val="28"/>
          <w:szCs w:val="32"/>
        </w:rPr>
        <w:t>4</w:t>
      </w:r>
      <w:r w:rsidRPr="00AE0D77">
        <w:rPr>
          <w:rFonts w:eastAsia="標楷體"/>
          <w:sz w:val="28"/>
          <w:szCs w:val="32"/>
        </w:rPr>
        <w:t>月製造業</w:t>
      </w:r>
      <w:r w:rsidR="008562AC" w:rsidRPr="00AE0D77">
        <w:rPr>
          <w:rFonts w:eastAsia="標楷體"/>
          <w:sz w:val="28"/>
          <w:szCs w:val="32"/>
        </w:rPr>
        <w:t>薪資為</w:t>
      </w:r>
      <w:r w:rsidR="008562AC" w:rsidRPr="00AE0D77">
        <w:rPr>
          <w:rFonts w:eastAsia="標楷體"/>
          <w:sz w:val="28"/>
          <w:szCs w:val="32"/>
        </w:rPr>
        <w:t>41,838</w:t>
      </w:r>
      <w:r w:rsidR="008562AC" w:rsidRPr="00AE0D77">
        <w:rPr>
          <w:rFonts w:eastAsia="標楷體"/>
          <w:sz w:val="28"/>
          <w:szCs w:val="32"/>
        </w:rPr>
        <w:t>元，較上年同月增加</w:t>
      </w:r>
      <w:r w:rsidR="008562AC" w:rsidRPr="00AE0D77">
        <w:rPr>
          <w:rFonts w:eastAsia="標楷體"/>
          <w:sz w:val="28"/>
          <w:szCs w:val="32"/>
        </w:rPr>
        <w:t>2.81%</w:t>
      </w:r>
      <w:r w:rsidR="008562AC" w:rsidRPr="00AE0D77">
        <w:rPr>
          <w:rFonts w:eastAsia="標楷體"/>
          <w:sz w:val="28"/>
          <w:szCs w:val="32"/>
        </w:rPr>
        <w:t>；</w:t>
      </w:r>
      <w:r w:rsidRPr="00AE0D77">
        <w:rPr>
          <w:rFonts w:eastAsia="標楷體"/>
          <w:sz w:val="28"/>
          <w:szCs w:val="32"/>
        </w:rPr>
        <w:t>電力及燃氣供應業、金融及保險業薪資分別為</w:t>
      </w:r>
      <w:r w:rsidRPr="00AE0D77">
        <w:rPr>
          <w:rFonts w:eastAsia="標楷體"/>
          <w:sz w:val="28"/>
          <w:szCs w:val="32"/>
        </w:rPr>
        <w:t>7</w:t>
      </w:r>
      <w:r w:rsidR="008562AC" w:rsidRPr="00AE0D77">
        <w:rPr>
          <w:rFonts w:eastAsia="標楷體"/>
          <w:sz w:val="28"/>
          <w:szCs w:val="32"/>
        </w:rPr>
        <w:t>1</w:t>
      </w:r>
      <w:r w:rsidRPr="00AE0D77">
        <w:rPr>
          <w:rFonts w:eastAsia="標楷體"/>
          <w:sz w:val="28"/>
          <w:szCs w:val="32"/>
        </w:rPr>
        <w:t>,</w:t>
      </w:r>
      <w:r w:rsidR="008562AC" w:rsidRPr="00AE0D77">
        <w:rPr>
          <w:rFonts w:eastAsia="標楷體"/>
          <w:sz w:val="28"/>
          <w:szCs w:val="32"/>
        </w:rPr>
        <w:t>686</w:t>
      </w:r>
      <w:r w:rsidRPr="00AE0D77">
        <w:rPr>
          <w:rFonts w:eastAsia="標楷體"/>
          <w:sz w:val="28"/>
          <w:szCs w:val="32"/>
        </w:rPr>
        <w:t>元及</w:t>
      </w:r>
      <w:r w:rsidR="008562AC" w:rsidRPr="00AE0D77">
        <w:rPr>
          <w:rFonts w:eastAsia="標楷體"/>
          <w:sz w:val="28"/>
          <w:szCs w:val="32"/>
        </w:rPr>
        <w:t>76</w:t>
      </w:r>
      <w:r w:rsidRPr="00AE0D77">
        <w:rPr>
          <w:rFonts w:eastAsia="標楷體"/>
          <w:sz w:val="28"/>
          <w:szCs w:val="32"/>
        </w:rPr>
        <w:t>,</w:t>
      </w:r>
      <w:r w:rsidR="008562AC" w:rsidRPr="00AE0D77">
        <w:rPr>
          <w:rFonts w:eastAsia="標楷體"/>
          <w:sz w:val="28"/>
          <w:szCs w:val="32"/>
        </w:rPr>
        <w:t>223</w:t>
      </w:r>
      <w:r w:rsidRPr="00AE0D77">
        <w:rPr>
          <w:rFonts w:eastAsia="標楷體"/>
          <w:sz w:val="28"/>
          <w:szCs w:val="32"/>
        </w:rPr>
        <w:t>元，較上年同月分別</w:t>
      </w:r>
      <w:r w:rsidR="008562AC" w:rsidRPr="00AE0D77">
        <w:rPr>
          <w:rFonts w:eastAsia="標楷體"/>
          <w:sz w:val="28"/>
          <w:szCs w:val="32"/>
        </w:rPr>
        <w:t>減少</w:t>
      </w:r>
      <w:r w:rsidR="008562AC" w:rsidRPr="00AE0D77">
        <w:rPr>
          <w:rFonts w:eastAsia="標楷體"/>
          <w:sz w:val="28"/>
          <w:szCs w:val="32"/>
        </w:rPr>
        <w:t>2.65</w:t>
      </w:r>
      <w:r w:rsidRPr="00AE0D77">
        <w:rPr>
          <w:rFonts w:eastAsia="標楷體"/>
          <w:sz w:val="28"/>
          <w:szCs w:val="32"/>
        </w:rPr>
        <w:t>%</w:t>
      </w:r>
      <w:r w:rsidRPr="00AE0D77">
        <w:rPr>
          <w:rFonts w:eastAsia="標楷體"/>
          <w:sz w:val="28"/>
          <w:szCs w:val="32"/>
        </w:rPr>
        <w:t>及</w:t>
      </w:r>
      <w:r w:rsidR="008562AC" w:rsidRPr="00AE0D77">
        <w:rPr>
          <w:rFonts w:eastAsia="標楷體"/>
          <w:sz w:val="28"/>
          <w:szCs w:val="32"/>
        </w:rPr>
        <w:t>4.86</w:t>
      </w:r>
      <w:r w:rsidRPr="00AE0D77">
        <w:rPr>
          <w:rFonts w:eastAsia="標楷體"/>
          <w:sz w:val="28"/>
          <w:szCs w:val="32"/>
        </w:rPr>
        <w:t>%</w:t>
      </w:r>
      <w:r w:rsidRPr="00AE0D77">
        <w:rPr>
          <w:rFonts w:eastAsia="標楷體"/>
          <w:sz w:val="28"/>
          <w:szCs w:val="32"/>
        </w:rPr>
        <w:t>。</w:t>
      </w:r>
    </w:p>
    <w:p w:rsidR="00742CC2" w:rsidRPr="00AE0D77" w:rsidRDefault="00742CC2" w:rsidP="00742CC2">
      <w:pPr>
        <w:snapToGrid w:val="0"/>
        <w:spacing w:before="50" w:line="300" w:lineRule="auto"/>
        <w:ind w:leftChars="119" w:left="569" w:rightChars="18" w:right="43" w:hangingChars="101" w:hanging="283"/>
        <w:jc w:val="both"/>
        <w:rPr>
          <w:rFonts w:eastAsia="標楷體"/>
          <w:sz w:val="28"/>
          <w:szCs w:val="32"/>
        </w:rPr>
      </w:pPr>
      <w:r w:rsidRPr="00AE0D77">
        <w:rPr>
          <w:rFonts w:eastAsia="標楷體"/>
          <w:sz w:val="28"/>
          <w:szCs w:val="32"/>
        </w:rPr>
        <w:t>－</w:t>
      </w:r>
      <w:r w:rsidRPr="00AE0D77">
        <w:rPr>
          <w:rFonts w:eastAsia="標楷體"/>
          <w:sz w:val="28"/>
          <w:szCs w:val="32"/>
        </w:rPr>
        <w:t>10</w:t>
      </w:r>
      <w:r w:rsidR="00801A51" w:rsidRPr="00AE0D77">
        <w:rPr>
          <w:rFonts w:eastAsia="標楷體"/>
          <w:sz w:val="28"/>
          <w:szCs w:val="32"/>
        </w:rPr>
        <w:t>6</w:t>
      </w:r>
      <w:r w:rsidRPr="00AE0D77">
        <w:rPr>
          <w:rFonts w:eastAsia="標楷體"/>
          <w:sz w:val="28"/>
          <w:szCs w:val="32"/>
        </w:rPr>
        <w:t>年</w:t>
      </w:r>
      <w:r w:rsidRPr="00AE0D77">
        <w:rPr>
          <w:rFonts w:eastAsia="標楷體"/>
          <w:sz w:val="28"/>
          <w:szCs w:val="32"/>
        </w:rPr>
        <w:t>1</w:t>
      </w:r>
      <w:r w:rsidRPr="00AE0D77">
        <w:rPr>
          <w:rFonts w:eastAsia="標楷體"/>
          <w:sz w:val="28"/>
          <w:szCs w:val="32"/>
        </w:rPr>
        <w:t>至</w:t>
      </w:r>
      <w:r w:rsidRPr="00AE0D77">
        <w:rPr>
          <w:rFonts w:eastAsia="標楷體"/>
          <w:sz w:val="28"/>
          <w:szCs w:val="32"/>
        </w:rPr>
        <w:t>4</w:t>
      </w:r>
      <w:r w:rsidRPr="00AE0D77">
        <w:rPr>
          <w:rFonts w:eastAsia="標楷體"/>
          <w:sz w:val="28"/>
          <w:szCs w:val="32"/>
        </w:rPr>
        <w:t>月薪資平均為</w:t>
      </w:r>
      <w:r w:rsidR="000C7664" w:rsidRPr="00AE0D77">
        <w:rPr>
          <w:rFonts w:eastAsia="標楷體"/>
          <w:sz w:val="28"/>
          <w:szCs w:val="32"/>
        </w:rPr>
        <w:t>56,833</w:t>
      </w:r>
      <w:r w:rsidRPr="00AE0D77">
        <w:rPr>
          <w:rFonts w:eastAsia="標楷體"/>
          <w:sz w:val="28"/>
          <w:szCs w:val="32"/>
        </w:rPr>
        <w:t>元，較</w:t>
      </w:r>
      <w:r w:rsidR="000C7664" w:rsidRPr="00AE0D77">
        <w:rPr>
          <w:rFonts w:eastAsia="標楷體"/>
          <w:sz w:val="28"/>
          <w:szCs w:val="32"/>
        </w:rPr>
        <w:t>上年同期增加</w:t>
      </w:r>
      <w:r w:rsidR="000C7664" w:rsidRPr="00AE0D77">
        <w:rPr>
          <w:rFonts w:eastAsia="標楷體"/>
          <w:sz w:val="28"/>
          <w:szCs w:val="32"/>
        </w:rPr>
        <w:t>2.2</w:t>
      </w:r>
      <w:r w:rsidRPr="00AE0D77">
        <w:rPr>
          <w:rFonts w:eastAsia="標楷體"/>
          <w:sz w:val="28"/>
          <w:szCs w:val="32"/>
        </w:rPr>
        <w:t>6%</w:t>
      </w:r>
      <w:r w:rsidR="000C7664" w:rsidRPr="00AE0D77">
        <w:rPr>
          <w:rFonts w:eastAsia="標楷體"/>
          <w:sz w:val="28"/>
          <w:szCs w:val="32"/>
        </w:rPr>
        <w:t xml:space="preserve"> </w:t>
      </w:r>
      <w:r w:rsidRPr="00AE0D77">
        <w:rPr>
          <w:rFonts w:eastAsia="標楷體"/>
          <w:sz w:val="28"/>
          <w:szCs w:val="32"/>
        </w:rPr>
        <w:t>(</w:t>
      </w:r>
      <w:r w:rsidRPr="00AE0D77">
        <w:rPr>
          <w:rFonts w:eastAsia="標楷體"/>
          <w:sz w:val="28"/>
          <w:szCs w:val="32"/>
        </w:rPr>
        <w:t>經常性薪資</w:t>
      </w:r>
      <w:r w:rsidRPr="00AE0D77">
        <w:rPr>
          <w:rFonts w:eastAsia="標楷體"/>
          <w:sz w:val="28"/>
          <w:szCs w:val="32"/>
        </w:rPr>
        <w:t>39,</w:t>
      </w:r>
      <w:r w:rsidR="000C7664" w:rsidRPr="00AE0D77">
        <w:rPr>
          <w:rFonts w:eastAsia="標楷體"/>
          <w:sz w:val="28"/>
          <w:szCs w:val="32"/>
        </w:rPr>
        <w:t>662</w:t>
      </w:r>
      <w:r w:rsidRPr="00AE0D77">
        <w:rPr>
          <w:rFonts w:eastAsia="標楷體"/>
          <w:sz w:val="28"/>
          <w:szCs w:val="32"/>
        </w:rPr>
        <w:t>元，為歷年同期最高，增加</w:t>
      </w:r>
      <w:r w:rsidR="000C7664" w:rsidRPr="00AE0D77">
        <w:rPr>
          <w:rFonts w:eastAsia="標楷體"/>
          <w:sz w:val="28"/>
          <w:szCs w:val="32"/>
        </w:rPr>
        <w:t>1.55</w:t>
      </w:r>
      <w:r w:rsidRPr="00AE0D77">
        <w:rPr>
          <w:rFonts w:eastAsia="標楷體"/>
          <w:sz w:val="28"/>
          <w:szCs w:val="32"/>
        </w:rPr>
        <w:t>%</w:t>
      </w:r>
      <w:r w:rsidRPr="00AE0D77">
        <w:rPr>
          <w:rFonts w:eastAsia="標楷體"/>
          <w:sz w:val="28"/>
          <w:szCs w:val="32"/>
        </w:rPr>
        <w:t>；非經常性薪資</w:t>
      </w:r>
      <w:r w:rsidRPr="00AE0D77">
        <w:rPr>
          <w:rFonts w:eastAsia="標楷體"/>
          <w:sz w:val="28"/>
          <w:szCs w:val="32"/>
        </w:rPr>
        <w:t>1</w:t>
      </w:r>
      <w:r w:rsidR="007C6A49" w:rsidRPr="00AE0D77">
        <w:rPr>
          <w:rFonts w:eastAsia="標楷體"/>
          <w:sz w:val="28"/>
          <w:szCs w:val="32"/>
        </w:rPr>
        <w:t>7</w:t>
      </w:r>
      <w:r w:rsidRPr="00AE0D77">
        <w:rPr>
          <w:rFonts w:eastAsia="標楷體"/>
          <w:sz w:val="28"/>
          <w:szCs w:val="32"/>
        </w:rPr>
        <w:t>,</w:t>
      </w:r>
      <w:r w:rsidR="007C6A49" w:rsidRPr="00AE0D77">
        <w:rPr>
          <w:rFonts w:eastAsia="標楷體"/>
          <w:sz w:val="28"/>
          <w:szCs w:val="32"/>
        </w:rPr>
        <w:t>171</w:t>
      </w:r>
      <w:r w:rsidRPr="00AE0D77">
        <w:rPr>
          <w:rFonts w:eastAsia="標楷體"/>
          <w:sz w:val="28"/>
          <w:szCs w:val="32"/>
        </w:rPr>
        <w:t>元，</w:t>
      </w:r>
      <w:r w:rsidR="007230B1" w:rsidRPr="00AE0D77">
        <w:rPr>
          <w:rFonts w:eastAsia="標楷體"/>
          <w:sz w:val="28"/>
          <w:szCs w:val="32"/>
        </w:rPr>
        <w:t>增加</w:t>
      </w:r>
      <w:r w:rsidR="007230B1" w:rsidRPr="00AE0D77">
        <w:rPr>
          <w:rFonts w:eastAsia="標楷體"/>
          <w:sz w:val="28"/>
          <w:szCs w:val="32"/>
        </w:rPr>
        <w:t>3.95</w:t>
      </w:r>
      <w:r w:rsidRPr="00AE0D77">
        <w:rPr>
          <w:rFonts w:eastAsia="標楷體"/>
          <w:sz w:val="28"/>
          <w:szCs w:val="32"/>
        </w:rPr>
        <w:t>%)</w:t>
      </w:r>
      <w:r w:rsidRPr="00AE0D77">
        <w:rPr>
          <w:rFonts w:eastAsia="標楷體"/>
          <w:sz w:val="28"/>
          <w:szCs w:val="32"/>
        </w:rPr>
        <w:t>；扣除同期間消費者物價指數上漲</w:t>
      </w:r>
      <w:r w:rsidR="007230B1" w:rsidRPr="00AE0D77">
        <w:rPr>
          <w:rFonts w:eastAsia="標楷體"/>
          <w:sz w:val="28"/>
          <w:szCs w:val="32"/>
        </w:rPr>
        <w:t>0.60</w:t>
      </w:r>
      <w:r w:rsidRPr="00AE0D77">
        <w:rPr>
          <w:rFonts w:eastAsia="標楷體"/>
          <w:sz w:val="28"/>
          <w:szCs w:val="32"/>
        </w:rPr>
        <w:t>%</w:t>
      </w:r>
      <w:r w:rsidRPr="00AE0D77">
        <w:rPr>
          <w:rFonts w:eastAsia="標楷體"/>
          <w:sz w:val="28"/>
          <w:szCs w:val="32"/>
        </w:rPr>
        <w:t>後，實質薪資平均為</w:t>
      </w:r>
      <w:r w:rsidRPr="00AE0D77">
        <w:rPr>
          <w:rFonts w:eastAsia="標楷體"/>
          <w:sz w:val="28"/>
          <w:szCs w:val="32"/>
        </w:rPr>
        <w:t>5</w:t>
      </w:r>
      <w:r w:rsidR="003D59CF" w:rsidRPr="00AE0D77">
        <w:rPr>
          <w:rFonts w:eastAsia="標楷體"/>
          <w:sz w:val="28"/>
          <w:szCs w:val="32"/>
        </w:rPr>
        <w:t>4,122</w:t>
      </w:r>
      <w:r w:rsidRPr="00AE0D77">
        <w:rPr>
          <w:rFonts w:eastAsia="標楷體"/>
          <w:sz w:val="28"/>
          <w:szCs w:val="32"/>
        </w:rPr>
        <w:t>元，實質經常性薪資為</w:t>
      </w:r>
      <w:r w:rsidRPr="00AE0D77">
        <w:rPr>
          <w:rFonts w:eastAsia="標楷體"/>
          <w:sz w:val="28"/>
          <w:szCs w:val="32"/>
        </w:rPr>
        <w:t>37,</w:t>
      </w:r>
      <w:r w:rsidR="003D59CF" w:rsidRPr="00AE0D77">
        <w:rPr>
          <w:rFonts w:eastAsia="標楷體"/>
          <w:sz w:val="28"/>
          <w:szCs w:val="32"/>
        </w:rPr>
        <w:t>770</w:t>
      </w:r>
      <w:r w:rsidRPr="00AE0D77">
        <w:rPr>
          <w:rFonts w:eastAsia="標楷體"/>
          <w:sz w:val="28"/>
          <w:szCs w:val="32"/>
        </w:rPr>
        <w:t>元，分別較上年同期</w:t>
      </w:r>
      <w:r w:rsidR="003D59CF" w:rsidRPr="00AE0D77">
        <w:rPr>
          <w:rFonts w:eastAsia="標楷體"/>
          <w:sz w:val="28"/>
          <w:szCs w:val="32"/>
        </w:rPr>
        <w:t>增加</w:t>
      </w:r>
      <w:r w:rsidR="003D59CF" w:rsidRPr="00AE0D77">
        <w:rPr>
          <w:rFonts w:eastAsia="標楷體"/>
          <w:sz w:val="28"/>
          <w:szCs w:val="32"/>
        </w:rPr>
        <w:t>1.65</w:t>
      </w:r>
      <w:r w:rsidRPr="00AE0D77">
        <w:rPr>
          <w:rFonts w:eastAsia="標楷體"/>
          <w:sz w:val="28"/>
          <w:szCs w:val="32"/>
        </w:rPr>
        <w:t>%</w:t>
      </w:r>
      <w:r w:rsidRPr="00AE0D77">
        <w:rPr>
          <w:rFonts w:eastAsia="標楷體"/>
          <w:sz w:val="28"/>
          <w:szCs w:val="32"/>
        </w:rPr>
        <w:t>及</w:t>
      </w:r>
      <w:r w:rsidRPr="00AE0D77">
        <w:rPr>
          <w:rFonts w:eastAsia="標楷體"/>
          <w:sz w:val="28"/>
          <w:szCs w:val="32"/>
        </w:rPr>
        <w:t>0.</w:t>
      </w:r>
      <w:r w:rsidR="003D59CF" w:rsidRPr="00AE0D77">
        <w:rPr>
          <w:rFonts w:eastAsia="標楷體"/>
          <w:sz w:val="28"/>
          <w:szCs w:val="32"/>
        </w:rPr>
        <w:t>94</w:t>
      </w:r>
      <w:r w:rsidRPr="00AE0D77">
        <w:rPr>
          <w:rFonts w:eastAsia="標楷體"/>
          <w:sz w:val="28"/>
          <w:szCs w:val="32"/>
        </w:rPr>
        <w:t>%</w:t>
      </w:r>
      <w:r w:rsidRPr="00AE0D77">
        <w:rPr>
          <w:rFonts w:eastAsia="標楷體"/>
          <w:sz w:val="28"/>
          <w:szCs w:val="32"/>
        </w:rPr>
        <w:t>。</w:t>
      </w:r>
    </w:p>
    <w:p w:rsidR="00742CC2" w:rsidRPr="00AE0D77" w:rsidRDefault="00742CC2" w:rsidP="00742CC2">
      <w:pPr>
        <w:snapToGrid w:val="0"/>
        <w:spacing w:before="50" w:line="300" w:lineRule="auto"/>
        <w:ind w:leftChars="119" w:left="569" w:rightChars="18" w:right="43" w:hangingChars="101" w:hanging="283"/>
        <w:jc w:val="center"/>
        <w:rPr>
          <w:rFonts w:eastAsia="標楷體"/>
          <w:sz w:val="28"/>
          <w:szCs w:val="32"/>
        </w:rPr>
      </w:pPr>
      <w:r w:rsidRPr="00AE0D77">
        <w:rPr>
          <w:rFonts w:eastAsia="標楷體"/>
          <w:b/>
          <w:bCs/>
          <w:sz w:val="28"/>
        </w:rPr>
        <w:br w:type="page"/>
      </w:r>
      <w:r w:rsidRPr="00AE0D77">
        <w:rPr>
          <w:rFonts w:eastAsia="標楷體"/>
          <w:b/>
          <w:bCs/>
          <w:sz w:val="28"/>
        </w:rPr>
        <w:t>表</w:t>
      </w:r>
      <w:r w:rsidRPr="00AE0D77">
        <w:rPr>
          <w:rFonts w:eastAsia="標楷體"/>
          <w:b/>
          <w:bCs/>
          <w:sz w:val="28"/>
        </w:rPr>
        <w:t xml:space="preserve"> 2-9-3  </w:t>
      </w:r>
      <w:r w:rsidRPr="00AE0D77">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742CC2" w:rsidRPr="00AE0D77" w:rsidTr="0099145A">
        <w:trPr>
          <w:cantSplit/>
          <w:trHeight w:val="533"/>
          <w:jc w:val="center"/>
        </w:trPr>
        <w:tc>
          <w:tcPr>
            <w:tcW w:w="1844" w:type="dxa"/>
            <w:vMerge w:val="restart"/>
            <w:vAlign w:val="center"/>
          </w:tcPr>
          <w:p w:rsidR="00742CC2" w:rsidRPr="00AE0D77" w:rsidRDefault="00742CC2" w:rsidP="0099145A">
            <w:pPr>
              <w:widowControl/>
              <w:snapToGrid w:val="0"/>
              <w:jc w:val="center"/>
              <w:rPr>
                <w:rFonts w:eastAsia="標楷體"/>
                <w:spacing w:val="-20"/>
                <w:w w:val="98"/>
              </w:rPr>
            </w:pPr>
            <w:r w:rsidRPr="00AE0D77">
              <w:rPr>
                <w:rFonts w:eastAsia="標楷體"/>
                <w:kern w:val="0"/>
              </w:rPr>
              <w:t>年</w:t>
            </w:r>
            <w:r w:rsidRPr="00AE0D77">
              <w:rPr>
                <w:rFonts w:eastAsia="標楷體"/>
                <w:kern w:val="0"/>
              </w:rPr>
              <w:t>(</w:t>
            </w:r>
            <w:r w:rsidRPr="00AE0D77">
              <w:rPr>
                <w:rFonts w:eastAsia="標楷體"/>
                <w:kern w:val="0"/>
              </w:rPr>
              <w:t>月</w:t>
            </w:r>
            <w:r w:rsidRPr="00AE0D77">
              <w:rPr>
                <w:rFonts w:eastAsia="標楷體"/>
                <w:kern w:val="0"/>
              </w:rPr>
              <w:t>)</w:t>
            </w:r>
          </w:p>
        </w:tc>
        <w:tc>
          <w:tcPr>
            <w:tcW w:w="2362" w:type="dxa"/>
            <w:gridSpan w:val="2"/>
            <w:tcBorders>
              <w:bottom w:val="nil"/>
            </w:tcBorders>
            <w:vAlign w:val="center"/>
          </w:tcPr>
          <w:p w:rsidR="00742CC2" w:rsidRPr="00AE0D77" w:rsidRDefault="00742CC2" w:rsidP="0099145A">
            <w:pPr>
              <w:snapToGrid w:val="0"/>
              <w:jc w:val="center"/>
              <w:rPr>
                <w:rFonts w:eastAsia="標楷體"/>
                <w:spacing w:val="-20"/>
                <w:w w:val="98"/>
              </w:rPr>
            </w:pPr>
            <w:r w:rsidRPr="00AE0D77">
              <w:rPr>
                <w:rFonts w:eastAsia="標楷體"/>
                <w:spacing w:val="-20"/>
                <w:w w:val="98"/>
              </w:rPr>
              <w:t>工</w:t>
            </w:r>
            <w:r w:rsidRPr="00AE0D77">
              <w:rPr>
                <w:rFonts w:eastAsia="標楷體"/>
                <w:spacing w:val="-20"/>
                <w:w w:val="98"/>
              </w:rPr>
              <w:t xml:space="preserve"> </w:t>
            </w:r>
            <w:r w:rsidRPr="00AE0D77">
              <w:rPr>
                <w:rFonts w:eastAsia="標楷體"/>
                <w:spacing w:val="-20"/>
                <w:w w:val="98"/>
              </w:rPr>
              <w:t>業</w:t>
            </w:r>
            <w:r w:rsidRPr="00AE0D77">
              <w:rPr>
                <w:rFonts w:eastAsia="標楷體"/>
                <w:spacing w:val="-20"/>
                <w:w w:val="98"/>
              </w:rPr>
              <w:t xml:space="preserve"> </w:t>
            </w:r>
            <w:r w:rsidRPr="00AE0D77">
              <w:rPr>
                <w:rFonts w:eastAsia="標楷體"/>
                <w:spacing w:val="-20"/>
                <w:w w:val="98"/>
              </w:rPr>
              <w:t>及</w:t>
            </w:r>
            <w:r w:rsidRPr="00AE0D77">
              <w:rPr>
                <w:rFonts w:eastAsia="標楷體"/>
                <w:spacing w:val="-20"/>
                <w:w w:val="98"/>
              </w:rPr>
              <w:t xml:space="preserve"> </w:t>
            </w:r>
            <w:r w:rsidRPr="00AE0D77">
              <w:rPr>
                <w:rFonts w:eastAsia="標楷體"/>
                <w:spacing w:val="-20"/>
                <w:w w:val="98"/>
              </w:rPr>
              <w:t>服</w:t>
            </w:r>
            <w:r w:rsidRPr="00AE0D77">
              <w:rPr>
                <w:rFonts w:eastAsia="標楷體"/>
                <w:spacing w:val="-20"/>
                <w:w w:val="98"/>
              </w:rPr>
              <w:t xml:space="preserve"> </w:t>
            </w:r>
            <w:r w:rsidRPr="00AE0D77">
              <w:rPr>
                <w:rFonts w:eastAsia="標楷體"/>
                <w:spacing w:val="-20"/>
                <w:w w:val="98"/>
              </w:rPr>
              <w:t>務</w:t>
            </w:r>
            <w:r w:rsidRPr="00AE0D77">
              <w:rPr>
                <w:rFonts w:eastAsia="標楷體"/>
                <w:spacing w:val="-20"/>
                <w:w w:val="98"/>
              </w:rPr>
              <w:t xml:space="preserve"> </w:t>
            </w:r>
            <w:r w:rsidRPr="00AE0D77">
              <w:rPr>
                <w:rFonts w:eastAsia="標楷體"/>
                <w:spacing w:val="-20"/>
                <w:w w:val="98"/>
              </w:rPr>
              <w:t>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c>
          <w:tcPr>
            <w:tcW w:w="1701" w:type="dxa"/>
            <w:vMerge w:val="restart"/>
            <w:vAlign w:val="center"/>
          </w:tcPr>
          <w:p w:rsidR="00742CC2" w:rsidRPr="00AE0D77" w:rsidRDefault="00742CC2" w:rsidP="0099145A">
            <w:pPr>
              <w:snapToGrid w:val="0"/>
              <w:jc w:val="center"/>
              <w:rPr>
                <w:rFonts w:eastAsia="標楷體"/>
                <w:spacing w:val="-20"/>
                <w:w w:val="98"/>
              </w:rPr>
            </w:pPr>
            <w:r w:rsidRPr="00AE0D77">
              <w:rPr>
                <w:rFonts w:eastAsia="標楷體"/>
                <w:spacing w:val="-20"/>
                <w:w w:val="98"/>
              </w:rPr>
              <w:t>製造業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c>
          <w:tcPr>
            <w:tcW w:w="1686" w:type="dxa"/>
            <w:vMerge w:val="restart"/>
            <w:vAlign w:val="center"/>
          </w:tcPr>
          <w:p w:rsidR="00742CC2" w:rsidRPr="00AE0D77" w:rsidRDefault="00742CC2" w:rsidP="0099145A">
            <w:pPr>
              <w:snapToGrid w:val="0"/>
              <w:jc w:val="center"/>
              <w:rPr>
                <w:rFonts w:eastAsia="標楷體"/>
                <w:spacing w:val="-20"/>
                <w:w w:val="98"/>
              </w:rPr>
            </w:pPr>
            <w:r w:rsidRPr="00AE0D77">
              <w:rPr>
                <w:rFonts w:eastAsia="標楷體"/>
                <w:spacing w:val="-20"/>
                <w:w w:val="98"/>
              </w:rPr>
              <w:t>電力及燃氣供應業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c>
          <w:tcPr>
            <w:tcW w:w="1665" w:type="dxa"/>
            <w:vMerge w:val="restart"/>
            <w:vAlign w:val="center"/>
          </w:tcPr>
          <w:p w:rsidR="00742CC2" w:rsidRPr="00AE0D77" w:rsidRDefault="00742CC2" w:rsidP="0099145A">
            <w:pPr>
              <w:widowControl/>
              <w:snapToGrid w:val="0"/>
              <w:jc w:val="center"/>
              <w:rPr>
                <w:rFonts w:eastAsia="標楷體"/>
                <w:spacing w:val="-20"/>
                <w:w w:val="98"/>
              </w:rPr>
            </w:pPr>
            <w:r w:rsidRPr="00AE0D77">
              <w:rPr>
                <w:rFonts w:eastAsia="標楷體"/>
                <w:spacing w:val="-20"/>
                <w:w w:val="98"/>
              </w:rPr>
              <w:t>金融及保險業</w:t>
            </w:r>
            <w:r w:rsidRPr="00AE0D77">
              <w:rPr>
                <w:rFonts w:eastAsia="標楷體"/>
                <w:spacing w:val="-20"/>
                <w:w w:val="98"/>
              </w:rPr>
              <w:t>(</w:t>
            </w:r>
            <w:r w:rsidRPr="00AE0D77">
              <w:rPr>
                <w:rFonts w:eastAsia="標楷體"/>
                <w:spacing w:val="-20"/>
                <w:w w:val="98"/>
              </w:rPr>
              <w:t>元</w:t>
            </w:r>
            <w:r w:rsidRPr="00AE0D77">
              <w:rPr>
                <w:rFonts w:eastAsia="標楷體"/>
                <w:spacing w:val="-20"/>
                <w:w w:val="98"/>
              </w:rPr>
              <w:t>)</w:t>
            </w:r>
          </w:p>
        </w:tc>
      </w:tr>
      <w:tr w:rsidR="00742CC2" w:rsidRPr="00AE0D77" w:rsidTr="0099145A">
        <w:trPr>
          <w:cantSplit/>
          <w:trHeight w:val="553"/>
          <w:jc w:val="center"/>
        </w:trPr>
        <w:tc>
          <w:tcPr>
            <w:tcW w:w="1844" w:type="dxa"/>
            <w:vMerge/>
          </w:tcPr>
          <w:p w:rsidR="00742CC2" w:rsidRPr="00AE0D77" w:rsidRDefault="00742CC2" w:rsidP="0099145A">
            <w:pPr>
              <w:snapToGrid w:val="0"/>
              <w:jc w:val="both"/>
              <w:rPr>
                <w:rFonts w:eastAsia="標楷體"/>
                <w:spacing w:val="-20"/>
                <w:w w:val="98"/>
              </w:rPr>
            </w:pPr>
          </w:p>
        </w:tc>
        <w:tc>
          <w:tcPr>
            <w:tcW w:w="1213" w:type="dxa"/>
            <w:tcBorders>
              <w:top w:val="nil"/>
            </w:tcBorders>
            <w:vAlign w:val="center"/>
          </w:tcPr>
          <w:p w:rsidR="00742CC2" w:rsidRPr="00AE0D77" w:rsidRDefault="00742CC2" w:rsidP="0099145A">
            <w:pPr>
              <w:snapToGrid w:val="0"/>
              <w:jc w:val="center"/>
              <w:rPr>
                <w:rFonts w:eastAsia="標楷體"/>
                <w:spacing w:val="-20"/>
                <w:w w:val="98"/>
              </w:rPr>
            </w:pPr>
          </w:p>
        </w:tc>
        <w:tc>
          <w:tcPr>
            <w:tcW w:w="1149" w:type="dxa"/>
            <w:tcBorders>
              <w:top w:val="single" w:sz="4" w:space="0" w:color="auto"/>
            </w:tcBorders>
            <w:vAlign w:val="center"/>
          </w:tcPr>
          <w:p w:rsidR="00742CC2" w:rsidRPr="00AE0D77" w:rsidRDefault="00742CC2" w:rsidP="0099145A">
            <w:pPr>
              <w:snapToGrid w:val="0"/>
              <w:jc w:val="center"/>
              <w:rPr>
                <w:rFonts w:eastAsia="標楷體"/>
                <w:spacing w:val="-20"/>
                <w:w w:val="98"/>
              </w:rPr>
            </w:pPr>
            <w:r w:rsidRPr="00AE0D77">
              <w:rPr>
                <w:rFonts w:eastAsia="標楷體"/>
                <w:spacing w:val="-20"/>
                <w:w w:val="98"/>
              </w:rPr>
              <w:t>經常性薪資</w:t>
            </w:r>
          </w:p>
        </w:tc>
        <w:tc>
          <w:tcPr>
            <w:tcW w:w="1701" w:type="dxa"/>
            <w:vMerge/>
            <w:vAlign w:val="center"/>
          </w:tcPr>
          <w:p w:rsidR="00742CC2" w:rsidRPr="00AE0D77" w:rsidRDefault="00742CC2" w:rsidP="0099145A">
            <w:pPr>
              <w:snapToGrid w:val="0"/>
              <w:jc w:val="center"/>
              <w:rPr>
                <w:rFonts w:eastAsia="標楷體"/>
                <w:spacing w:val="-20"/>
                <w:w w:val="98"/>
              </w:rPr>
            </w:pPr>
          </w:p>
        </w:tc>
        <w:tc>
          <w:tcPr>
            <w:tcW w:w="1686" w:type="dxa"/>
            <w:vMerge/>
            <w:vAlign w:val="center"/>
          </w:tcPr>
          <w:p w:rsidR="00742CC2" w:rsidRPr="00AE0D77" w:rsidRDefault="00742CC2" w:rsidP="0099145A">
            <w:pPr>
              <w:snapToGrid w:val="0"/>
              <w:jc w:val="center"/>
              <w:rPr>
                <w:rFonts w:eastAsia="標楷體"/>
                <w:spacing w:val="-20"/>
                <w:w w:val="98"/>
              </w:rPr>
            </w:pPr>
          </w:p>
        </w:tc>
        <w:tc>
          <w:tcPr>
            <w:tcW w:w="1665" w:type="dxa"/>
            <w:vMerge/>
            <w:vAlign w:val="center"/>
          </w:tcPr>
          <w:p w:rsidR="00742CC2" w:rsidRPr="00AE0D77" w:rsidRDefault="00742CC2" w:rsidP="0099145A">
            <w:pPr>
              <w:snapToGrid w:val="0"/>
              <w:jc w:val="center"/>
              <w:rPr>
                <w:rFonts w:eastAsia="標楷體"/>
                <w:spacing w:val="-20"/>
                <w:w w:val="98"/>
              </w:rPr>
            </w:pPr>
          </w:p>
        </w:tc>
      </w:tr>
      <w:tr w:rsidR="000C7664" w:rsidRPr="00AE0D77" w:rsidTr="0099145A">
        <w:trPr>
          <w:trHeight w:val="360"/>
          <w:jc w:val="center"/>
        </w:trPr>
        <w:tc>
          <w:tcPr>
            <w:tcW w:w="1844" w:type="dxa"/>
            <w:tcBorders>
              <w:top w:val="nil"/>
              <w:bottom w:val="nil"/>
            </w:tcBorders>
            <w:vAlign w:val="center"/>
          </w:tcPr>
          <w:p w:rsidR="000C7664" w:rsidRPr="00AE0D77" w:rsidRDefault="000C7664" w:rsidP="00087024">
            <w:pPr>
              <w:snapToGrid w:val="0"/>
              <w:spacing w:line="400" w:lineRule="exact"/>
              <w:rPr>
                <w:rFonts w:eastAsia="標楷體"/>
                <w:b/>
                <w14:cntxtAlts/>
              </w:rPr>
            </w:pPr>
            <w:r w:rsidRPr="00AE0D77">
              <w:rPr>
                <w:rFonts w:eastAsia="標楷體"/>
                <w:b/>
                <w:bCs/>
                <w14:cntxtAlts/>
              </w:rPr>
              <w:t xml:space="preserve"> 101</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bCs/>
                <w14:cntxtAlts/>
              </w:rPr>
            </w:pPr>
            <w:r w:rsidRPr="00AE0D77">
              <w:rPr>
                <w:rFonts w:eastAsia="標楷體"/>
                <w:b/>
                <w:bCs/>
                <w14:cntxtAlts/>
              </w:rPr>
              <w:t>45,589</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bCs/>
                <w14:cntxtAlts/>
              </w:rPr>
            </w:pPr>
            <w:r w:rsidRPr="00AE0D77">
              <w:rPr>
                <w:rFonts w:eastAsia="標楷體"/>
                <w:b/>
                <w:bCs/>
                <w14:cntxtAlts/>
              </w:rPr>
              <w:t>37,151</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bCs/>
                <w14:cntxtAlts/>
              </w:rPr>
            </w:pPr>
            <w:r w:rsidRPr="00AE0D77">
              <w:rPr>
                <w:rFonts w:eastAsia="標楷體"/>
                <w:b/>
                <w:bCs/>
                <w14:cntxtAlts/>
              </w:rPr>
              <w:t>43,689</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bCs/>
                <w14:cntxtAlts/>
              </w:rPr>
              <w:t>92,869</w:t>
            </w:r>
          </w:p>
        </w:tc>
        <w:tc>
          <w:tcPr>
            <w:tcW w:w="1665" w:type="dxa"/>
            <w:tcBorders>
              <w:top w:val="nil"/>
              <w:left w:val="nil"/>
              <w:bottom w:val="nil"/>
            </w:tcBorders>
            <w:vAlign w:val="bottom"/>
          </w:tcPr>
          <w:p w:rsidR="000C7664" w:rsidRPr="00AE0D77" w:rsidRDefault="000C7664" w:rsidP="00087024">
            <w:pPr>
              <w:snapToGrid w:val="0"/>
              <w:spacing w:line="400" w:lineRule="exact"/>
              <w:ind w:rightChars="213" w:right="511"/>
              <w:jc w:val="right"/>
              <w:rPr>
                <w:rFonts w:eastAsia="標楷體"/>
                <w:b/>
                <w:bCs/>
                <w14:cntxtAlts/>
              </w:rPr>
            </w:pPr>
            <w:r w:rsidRPr="00AE0D77">
              <w:rPr>
                <w:rFonts w:eastAsia="標楷體"/>
                <w:b/>
                <w:bCs/>
                <w14:cntxtAlts/>
              </w:rPr>
              <w:t>77,989</w:t>
            </w:r>
          </w:p>
        </w:tc>
      </w:tr>
      <w:tr w:rsidR="000C7664" w:rsidRPr="00AE0D77" w:rsidTr="0099145A">
        <w:trPr>
          <w:trHeight w:val="360"/>
          <w:jc w:val="center"/>
        </w:trPr>
        <w:tc>
          <w:tcPr>
            <w:tcW w:w="1844" w:type="dxa"/>
            <w:tcBorders>
              <w:top w:val="nil"/>
              <w:bottom w:val="nil"/>
            </w:tcBorders>
            <w:vAlign w:val="center"/>
          </w:tcPr>
          <w:p w:rsidR="000C7664" w:rsidRPr="00AE0D77" w:rsidRDefault="000C7664" w:rsidP="00087024">
            <w:pPr>
              <w:snapToGrid w:val="0"/>
              <w:spacing w:line="400" w:lineRule="exact"/>
              <w:ind w:firstLineChars="50" w:firstLine="120"/>
              <w:rPr>
                <w:rFonts w:eastAsia="標楷體"/>
                <w:b/>
                <w:bCs/>
                <w14:cntxtAlts/>
              </w:rPr>
            </w:pPr>
            <w:r w:rsidRPr="00AE0D77">
              <w:rPr>
                <w:rFonts w:eastAsia="標楷體"/>
                <w:b/>
                <w:bCs/>
                <w14:cntxtAlts/>
              </w:rPr>
              <w:t>102</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14:cntxtAlts/>
              </w:rPr>
            </w:pPr>
            <w:r w:rsidRPr="00AE0D77">
              <w:rPr>
                <w:rFonts w:eastAsia="標楷體"/>
                <w:b/>
                <w14:cntxtAlts/>
              </w:rPr>
              <w:t>45,664</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14:cntxtAlts/>
              </w:rPr>
            </w:pPr>
            <w:r w:rsidRPr="00AE0D77">
              <w:rPr>
                <w:rFonts w:eastAsia="標楷體"/>
                <w:b/>
                <w14:cntxtAlts/>
              </w:rPr>
              <w:t>37,527</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14:cntxtAlts/>
              </w:rPr>
            </w:pPr>
            <w:r w:rsidRPr="00AE0D77">
              <w:rPr>
                <w:rFonts w:eastAsia="標楷體"/>
                <w:b/>
                <w14:cntxtAlts/>
              </w:rPr>
              <w:t>43,829</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14:cntxtAlts/>
              </w:rPr>
              <w:t>88,873</w:t>
            </w:r>
          </w:p>
        </w:tc>
        <w:tc>
          <w:tcPr>
            <w:tcW w:w="1665" w:type="dxa"/>
            <w:tcBorders>
              <w:top w:val="nil"/>
              <w:left w:val="nil"/>
              <w:bottom w:val="nil"/>
            </w:tcBorders>
            <w:vAlign w:val="bottom"/>
          </w:tcPr>
          <w:p w:rsidR="000C7664" w:rsidRPr="00AE0D77" w:rsidRDefault="000C7664" w:rsidP="00087024">
            <w:pPr>
              <w:snapToGrid w:val="0"/>
              <w:spacing w:line="400" w:lineRule="exact"/>
              <w:ind w:rightChars="213" w:right="511"/>
              <w:jc w:val="right"/>
              <w:rPr>
                <w:rFonts w:eastAsia="標楷體"/>
                <w:b/>
                <w14:cntxtAlts/>
              </w:rPr>
            </w:pPr>
            <w:r w:rsidRPr="00AE0D77">
              <w:rPr>
                <w:rFonts w:eastAsia="標楷體"/>
                <w:b/>
                <w14:cntxtAlts/>
              </w:rPr>
              <w:t>77,871</w:t>
            </w:r>
          </w:p>
        </w:tc>
      </w:tr>
      <w:tr w:rsidR="000C7664" w:rsidRPr="00AE0D77" w:rsidTr="0099145A">
        <w:trPr>
          <w:trHeight w:val="360"/>
          <w:jc w:val="center"/>
        </w:trPr>
        <w:tc>
          <w:tcPr>
            <w:tcW w:w="1844" w:type="dxa"/>
            <w:tcBorders>
              <w:top w:val="nil"/>
              <w:bottom w:val="nil"/>
            </w:tcBorders>
            <w:vAlign w:val="center"/>
          </w:tcPr>
          <w:p w:rsidR="000C7664" w:rsidRPr="00AE0D77" w:rsidRDefault="000C7664" w:rsidP="00087024">
            <w:pPr>
              <w:snapToGrid w:val="0"/>
              <w:spacing w:line="400" w:lineRule="exact"/>
              <w:ind w:firstLineChars="50" w:firstLine="120"/>
              <w:rPr>
                <w:rFonts w:eastAsia="標楷體"/>
                <w:b/>
                <w:bCs/>
                <w14:cntxtAlts/>
              </w:rPr>
            </w:pPr>
            <w:r w:rsidRPr="00AE0D77">
              <w:rPr>
                <w:rFonts w:eastAsia="標楷體"/>
                <w:b/>
                <w:bCs/>
                <w14:cntxtAlts/>
              </w:rPr>
              <w:t>103</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14:cntxtAlts/>
              </w:rPr>
            </w:pPr>
            <w:r w:rsidRPr="00AE0D77">
              <w:rPr>
                <w:rFonts w:eastAsia="標楷體"/>
                <w:b/>
                <w14:cntxtAlts/>
              </w:rPr>
              <w:t>47,300</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14:cntxtAlts/>
              </w:rPr>
            </w:pPr>
            <w:r w:rsidRPr="00AE0D77">
              <w:rPr>
                <w:rFonts w:eastAsia="標楷體"/>
                <w:b/>
                <w14:cntxtAlts/>
              </w:rPr>
              <w:t>38,208</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14:cntxtAlts/>
              </w:rPr>
            </w:pPr>
            <w:r w:rsidRPr="00AE0D77">
              <w:rPr>
                <w:rFonts w:eastAsia="標楷體"/>
                <w:b/>
                <w14:cntxtAlts/>
              </w:rPr>
              <w:t>45,207</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14:cntxtAlts/>
              </w:rPr>
              <w:t>94,022</w:t>
            </w:r>
          </w:p>
        </w:tc>
        <w:tc>
          <w:tcPr>
            <w:tcW w:w="1665" w:type="dxa"/>
            <w:tcBorders>
              <w:top w:val="nil"/>
              <w:left w:val="nil"/>
              <w:bottom w:val="nil"/>
            </w:tcBorders>
            <w:vAlign w:val="bottom"/>
          </w:tcPr>
          <w:p w:rsidR="000C7664" w:rsidRPr="00AE0D77" w:rsidRDefault="000C7664" w:rsidP="00087024">
            <w:pPr>
              <w:snapToGrid w:val="0"/>
              <w:spacing w:line="400" w:lineRule="exact"/>
              <w:ind w:rightChars="213" w:right="511"/>
              <w:jc w:val="right"/>
              <w:rPr>
                <w:rFonts w:eastAsia="標楷體"/>
                <w:b/>
                <w14:cntxtAlts/>
              </w:rPr>
            </w:pPr>
            <w:r w:rsidRPr="00AE0D77">
              <w:rPr>
                <w:rFonts w:eastAsia="標楷體"/>
                <w:b/>
                <w14:cntxtAlts/>
              </w:rPr>
              <w:t>83,092</w:t>
            </w:r>
          </w:p>
        </w:tc>
      </w:tr>
      <w:tr w:rsidR="000C7664" w:rsidRPr="00AE0D77" w:rsidTr="0099145A">
        <w:trPr>
          <w:trHeight w:val="339"/>
          <w:jc w:val="center"/>
        </w:trPr>
        <w:tc>
          <w:tcPr>
            <w:tcW w:w="1844" w:type="dxa"/>
            <w:tcBorders>
              <w:top w:val="nil"/>
              <w:bottom w:val="nil"/>
            </w:tcBorders>
            <w:vAlign w:val="center"/>
          </w:tcPr>
          <w:p w:rsidR="000C7664" w:rsidRPr="00AE0D77" w:rsidRDefault="000C7664" w:rsidP="00087024">
            <w:pPr>
              <w:snapToGrid w:val="0"/>
              <w:spacing w:line="400" w:lineRule="exact"/>
              <w:ind w:firstLineChars="50" w:firstLine="120"/>
              <w:rPr>
                <w:rFonts w:eastAsia="標楷體"/>
                <w:b/>
                <w:bCs/>
                <w14:cntxtAlts/>
              </w:rPr>
            </w:pPr>
            <w:r w:rsidRPr="00AE0D77">
              <w:rPr>
                <w:rFonts w:eastAsia="標楷體"/>
                <w:b/>
                <w:bCs/>
                <w14:cntxtAlts/>
              </w:rPr>
              <w:t>104</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14:cntxtAlts/>
              </w:rPr>
            </w:pPr>
            <w:r w:rsidRPr="00AE0D77">
              <w:rPr>
                <w:rFonts w:eastAsia="標楷體"/>
                <w:b/>
                <w14:cntxtAlts/>
              </w:rPr>
              <w:t>48,490</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14:cntxtAlts/>
              </w:rPr>
            </w:pPr>
            <w:r w:rsidRPr="00AE0D77">
              <w:rPr>
                <w:rFonts w:eastAsia="標楷體"/>
                <w:b/>
                <w14:cntxtAlts/>
              </w:rPr>
              <w:t>38,716</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14:cntxtAlts/>
              </w:rPr>
            </w:pPr>
            <w:r w:rsidRPr="00AE0D77">
              <w:rPr>
                <w:rFonts w:eastAsia="標楷體"/>
                <w:b/>
                <w14:cntxtAlts/>
              </w:rPr>
              <w:t>46,781</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14:cntxtAlts/>
              </w:rPr>
              <w:t>96,444</w:t>
            </w:r>
          </w:p>
        </w:tc>
        <w:tc>
          <w:tcPr>
            <w:tcW w:w="1665" w:type="dxa"/>
            <w:tcBorders>
              <w:top w:val="nil"/>
              <w:left w:val="nil"/>
              <w:bottom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b/>
                <w14:cntxtAlts/>
              </w:rPr>
            </w:pPr>
            <w:r w:rsidRPr="00AE0D77">
              <w:rPr>
                <w:rFonts w:eastAsia="標楷體"/>
                <w:b/>
                <w14:cntxtAlts/>
              </w:rPr>
              <w:t>84,696</w:t>
            </w:r>
          </w:p>
        </w:tc>
      </w:tr>
      <w:tr w:rsidR="000C7664" w:rsidRPr="00AE0D77" w:rsidTr="0099145A">
        <w:trPr>
          <w:trHeight w:val="339"/>
          <w:jc w:val="center"/>
        </w:trPr>
        <w:tc>
          <w:tcPr>
            <w:tcW w:w="1844" w:type="dxa"/>
            <w:tcBorders>
              <w:top w:val="nil"/>
              <w:bottom w:val="nil"/>
            </w:tcBorders>
            <w:vAlign w:val="center"/>
          </w:tcPr>
          <w:p w:rsidR="000C7664" w:rsidRPr="00AE0D77" w:rsidRDefault="000C7664" w:rsidP="00087024">
            <w:pPr>
              <w:snapToGrid w:val="0"/>
              <w:spacing w:line="400" w:lineRule="exact"/>
              <w:ind w:firstLineChars="50" w:firstLine="120"/>
              <w:rPr>
                <w:rFonts w:eastAsia="標楷體"/>
                <w:b/>
                <w:bCs/>
                <w14:cntxtAlts/>
              </w:rPr>
            </w:pPr>
            <w:r w:rsidRPr="00AE0D77">
              <w:rPr>
                <w:rFonts w:eastAsia="標楷體"/>
                <w:b/>
                <w:bCs/>
                <w14:cntxtAlts/>
              </w:rPr>
              <w:t>105</w:t>
            </w:r>
            <w:r w:rsidRPr="00AE0D77">
              <w:rPr>
                <w:rFonts w:eastAsia="標楷體"/>
                <w:b/>
                <w:bCs/>
                <w14:cntxtAlts/>
              </w:rPr>
              <w:t>年</w:t>
            </w:r>
          </w:p>
        </w:tc>
        <w:tc>
          <w:tcPr>
            <w:tcW w:w="1213" w:type="dxa"/>
            <w:tcBorders>
              <w:top w:val="nil"/>
              <w:bottom w:val="nil"/>
              <w:right w:val="nil"/>
            </w:tcBorders>
            <w:vAlign w:val="center"/>
          </w:tcPr>
          <w:p w:rsidR="000C7664" w:rsidRPr="00AE0D77" w:rsidRDefault="000C7664" w:rsidP="00087024">
            <w:pPr>
              <w:snapToGrid w:val="0"/>
              <w:spacing w:line="400" w:lineRule="exact"/>
              <w:ind w:rightChars="100" w:right="240"/>
              <w:jc w:val="right"/>
              <w:rPr>
                <w:rFonts w:eastAsia="標楷體"/>
                <w:b/>
                <w14:cntxtAlts/>
              </w:rPr>
            </w:pPr>
            <w:r w:rsidRPr="00AE0D77">
              <w:rPr>
                <w:rFonts w:eastAsia="標楷體"/>
                <w:b/>
                <w14:cntxtAlts/>
              </w:rPr>
              <w:t>48,790</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b/>
                <w14:cntxtAlts/>
              </w:rPr>
            </w:pPr>
            <w:r w:rsidRPr="00AE0D77">
              <w:rPr>
                <w:rFonts w:eastAsia="標楷體"/>
                <w:b/>
                <w14:cntxtAlts/>
              </w:rPr>
              <w:t>39,238</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b/>
                <w14:cntxtAlts/>
              </w:rPr>
            </w:pPr>
            <w:r w:rsidRPr="00AE0D77">
              <w:rPr>
                <w:rFonts w:eastAsia="標楷體"/>
                <w:b/>
                <w14:cntxtAlts/>
              </w:rPr>
              <w:t>47,258</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b/>
                <w14:cntxtAlts/>
              </w:rPr>
            </w:pPr>
            <w:r w:rsidRPr="00AE0D77">
              <w:rPr>
                <w:rFonts w:eastAsia="標楷體"/>
                <w:b/>
                <w14:cntxtAlts/>
              </w:rPr>
              <w:t>94,292</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b/>
                <w14:cntxtAlts/>
              </w:rPr>
            </w:pPr>
            <w:r w:rsidRPr="00AE0D77">
              <w:rPr>
                <w:rFonts w:eastAsia="標楷體"/>
                <w:b/>
                <w14:cntxtAlts/>
              </w:rPr>
              <w:t>85,417</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4</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43,560</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39,241</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40,694</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73,641</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80,117</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5</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45,828</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39,260</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43,107</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191,601</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87,531</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6</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44,998</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39,151</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42,883</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120,062</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74,758</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7</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46,919</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39,205</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47,881</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74,524</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70,273</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8</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45,713</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39,318</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45,835</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69,502</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76,398</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9</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45,205</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39,135</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43,749</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71,321</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75,106</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10</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43,069</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39,362</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41,927</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67,547</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62,372</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11</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43,876</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39,464</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43,377</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70,342</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64,734</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12</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47,728</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39,729</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45,572</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110,810</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77,802</w:t>
            </w:r>
          </w:p>
        </w:tc>
      </w:tr>
      <w:tr w:rsidR="00742CC2" w:rsidRPr="00AE0D77" w:rsidTr="0099145A">
        <w:trPr>
          <w:trHeight w:val="339"/>
          <w:jc w:val="center"/>
        </w:trPr>
        <w:tc>
          <w:tcPr>
            <w:tcW w:w="1844" w:type="dxa"/>
            <w:tcBorders>
              <w:top w:val="nil"/>
              <w:left w:val="nil"/>
              <w:bottom w:val="nil"/>
              <w:right w:val="single" w:sz="4" w:space="0" w:color="auto"/>
            </w:tcBorders>
            <w:vAlign w:val="center"/>
          </w:tcPr>
          <w:p w:rsidR="00742CC2" w:rsidRPr="00AE0D77" w:rsidRDefault="00742CC2" w:rsidP="0099145A">
            <w:pPr>
              <w:snapToGrid w:val="0"/>
              <w:spacing w:line="400" w:lineRule="exact"/>
              <w:ind w:rightChars="165" w:right="396" w:firstLineChars="37" w:firstLine="89"/>
              <w:rPr>
                <w:rFonts w:eastAsia="標楷體"/>
                <w:b/>
                <w14:cntxtAlts/>
              </w:rPr>
            </w:pPr>
            <w:r w:rsidRPr="00AE0D77">
              <w:rPr>
                <w:rFonts w:eastAsia="標楷體"/>
                <w:b/>
                <w14:cntxtAlts/>
              </w:rPr>
              <w:t>10</w:t>
            </w:r>
            <w:r w:rsidR="000C7664" w:rsidRPr="00AE0D77">
              <w:rPr>
                <w:rFonts w:eastAsia="標楷體"/>
                <w:b/>
                <w14:cntxtAlts/>
              </w:rPr>
              <w:t>6</w:t>
            </w:r>
            <w:r w:rsidRPr="00AE0D77">
              <w:rPr>
                <w:rFonts w:eastAsia="標楷體"/>
                <w:b/>
                <w14:cntxtAlts/>
              </w:rPr>
              <w:t>年</w:t>
            </w:r>
            <w:r w:rsidRPr="00AE0D77">
              <w:rPr>
                <w:rFonts w:eastAsia="標楷體"/>
                <w:b/>
                <w14:cntxtAlts/>
              </w:rPr>
              <w:t>1~4</w:t>
            </w:r>
            <w:r w:rsidRPr="00AE0D77">
              <w:rPr>
                <w:rFonts w:eastAsia="標楷體"/>
                <w:b/>
                <w14:cntxtAlts/>
              </w:rPr>
              <w:t>月</w:t>
            </w:r>
          </w:p>
        </w:tc>
        <w:tc>
          <w:tcPr>
            <w:tcW w:w="1213" w:type="dxa"/>
            <w:tcBorders>
              <w:top w:val="nil"/>
              <w:left w:val="single" w:sz="4" w:space="0" w:color="auto"/>
              <w:bottom w:val="nil"/>
              <w:right w:val="nil"/>
            </w:tcBorders>
            <w:vAlign w:val="center"/>
          </w:tcPr>
          <w:p w:rsidR="00742CC2" w:rsidRPr="00AE0D77" w:rsidRDefault="00742CC2" w:rsidP="0099145A">
            <w:pPr>
              <w:snapToGrid w:val="0"/>
              <w:spacing w:line="400" w:lineRule="exact"/>
              <w:ind w:rightChars="100" w:right="240"/>
              <w:jc w:val="right"/>
              <w:rPr>
                <w:rFonts w:eastAsia="標楷體"/>
                <w14:cntxtAlts/>
              </w:rPr>
            </w:pPr>
            <w:r w:rsidRPr="00AE0D77">
              <w:rPr>
                <w:rFonts w:eastAsia="標楷體"/>
                <w14:cntxtAlts/>
              </w:rPr>
              <w:t>5</w:t>
            </w:r>
            <w:r w:rsidR="000C7664" w:rsidRPr="00AE0D77">
              <w:rPr>
                <w:rFonts w:eastAsia="標楷體"/>
                <w14:cntxtAlts/>
              </w:rPr>
              <w:t>6</w:t>
            </w:r>
            <w:r w:rsidRPr="00AE0D77">
              <w:rPr>
                <w:rFonts w:eastAsia="標楷體"/>
                <w14:cntxtAlts/>
              </w:rPr>
              <w:t>,</w:t>
            </w:r>
            <w:r w:rsidR="000C7664" w:rsidRPr="00AE0D77">
              <w:rPr>
                <w:rFonts w:eastAsia="標楷體"/>
                <w14:cntxtAlts/>
              </w:rPr>
              <w:t>833</w:t>
            </w:r>
          </w:p>
        </w:tc>
        <w:tc>
          <w:tcPr>
            <w:tcW w:w="1149" w:type="dxa"/>
            <w:tcBorders>
              <w:top w:val="nil"/>
              <w:left w:val="nil"/>
              <w:bottom w:val="nil"/>
              <w:right w:val="nil"/>
            </w:tcBorders>
            <w:vAlign w:val="center"/>
          </w:tcPr>
          <w:p w:rsidR="00742CC2" w:rsidRPr="00AE0D77" w:rsidRDefault="00742CC2" w:rsidP="0099145A">
            <w:pPr>
              <w:snapToGrid w:val="0"/>
              <w:spacing w:line="400" w:lineRule="exact"/>
              <w:ind w:rightChars="57" w:right="137"/>
              <w:jc w:val="right"/>
              <w:rPr>
                <w:rFonts w:eastAsia="標楷體"/>
                <w14:cntxtAlts/>
              </w:rPr>
            </w:pPr>
            <w:r w:rsidRPr="00AE0D77">
              <w:rPr>
                <w:rFonts w:eastAsia="標楷體"/>
                <w14:cntxtAlts/>
              </w:rPr>
              <w:t>39,</w:t>
            </w:r>
            <w:r w:rsidR="003D59CF" w:rsidRPr="00AE0D77">
              <w:rPr>
                <w:rFonts w:eastAsia="標楷體"/>
                <w14:cntxtAlts/>
              </w:rPr>
              <w:t>662</w:t>
            </w:r>
          </w:p>
        </w:tc>
        <w:tc>
          <w:tcPr>
            <w:tcW w:w="1701" w:type="dxa"/>
            <w:tcBorders>
              <w:top w:val="nil"/>
              <w:left w:val="nil"/>
              <w:bottom w:val="nil"/>
              <w:right w:val="nil"/>
            </w:tcBorders>
            <w:vAlign w:val="center"/>
          </w:tcPr>
          <w:p w:rsidR="00742CC2" w:rsidRPr="00AE0D77" w:rsidRDefault="00742CC2" w:rsidP="0099145A">
            <w:pPr>
              <w:snapToGrid w:val="0"/>
              <w:spacing w:line="400" w:lineRule="exact"/>
              <w:ind w:rightChars="175" w:right="420"/>
              <w:jc w:val="right"/>
              <w:rPr>
                <w:rFonts w:eastAsia="標楷體"/>
                <w14:cntxtAlts/>
              </w:rPr>
            </w:pPr>
            <w:r w:rsidRPr="00AE0D77">
              <w:rPr>
                <w:rFonts w:eastAsia="標楷體"/>
                <w14:cntxtAlts/>
              </w:rPr>
              <w:t>5</w:t>
            </w:r>
            <w:r w:rsidR="009A2929" w:rsidRPr="00AE0D77">
              <w:rPr>
                <w:rFonts w:eastAsia="標楷體"/>
                <w14:cntxtAlts/>
              </w:rPr>
              <w:t>4</w:t>
            </w:r>
            <w:r w:rsidRPr="00AE0D77">
              <w:rPr>
                <w:rFonts w:eastAsia="標楷體"/>
                <w14:cntxtAlts/>
              </w:rPr>
              <w:t>,</w:t>
            </w:r>
            <w:r w:rsidR="009A2929" w:rsidRPr="00AE0D77">
              <w:rPr>
                <w:rFonts w:eastAsia="標楷體"/>
                <w14:cntxtAlts/>
              </w:rPr>
              <w:t>638</w:t>
            </w:r>
          </w:p>
        </w:tc>
        <w:tc>
          <w:tcPr>
            <w:tcW w:w="1686" w:type="dxa"/>
            <w:tcBorders>
              <w:top w:val="nil"/>
              <w:left w:val="nil"/>
              <w:bottom w:val="nil"/>
              <w:right w:val="nil"/>
            </w:tcBorders>
            <w:vAlign w:val="center"/>
          </w:tcPr>
          <w:p w:rsidR="00742CC2" w:rsidRPr="00AE0D77" w:rsidRDefault="00742CC2" w:rsidP="0099145A">
            <w:pPr>
              <w:snapToGrid w:val="0"/>
              <w:spacing w:line="400" w:lineRule="exact"/>
              <w:ind w:rightChars="228" w:right="547"/>
              <w:jc w:val="right"/>
              <w:rPr>
                <w:rFonts w:eastAsia="標楷體"/>
                <w14:cntxtAlts/>
              </w:rPr>
            </w:pPr>
            <w:r w:rsidRPr="00AE0D77">
              <w:rPr>
                <w:rFonts w:eastAsia="標楷體"/>
                <w14:cntxtAlts/>
              </w:rPr>
              <w:t>8</w:t>
            </w:r>
            <w:r w:rsidR="009A2929" w:rsidRPr="00AE0D77">
              <w:rPr>
                <w:rFonts w:eastAsia="標楷體"/>
                <w14:cntxtAlts/>
              </w:rPr>
              <w:t>8</w:t>
            </w:r>
            <w:r w:rsidRPr="00AE0D77">
              <w:rPr>
                <w:rFonts w:eastAsia="標楷體"/>
                <w14:cntxtAlts/>
              </w:rPr>
              <w:t>,4</w:t>
            </w:r>
            <w:r w:rsidR="009A2929" w:rsidRPr="00AE0D77">
              <w:rPr>
                <w:rFonts w:eastAsia="標楷體"/>
                <w14:cntxtAlts/>
              </w:rPr>
              <w:t>45</w:t>
            </w:r>
          </w:p>
        </w:tc>
        <w:tc>
          <w:tcPr>
            <w:tcW w:w="1665" w:type="dxa"/>
            <w:tcBorders>
              <w:top w:val="nil"/>
              <w:left w:val="nil"/>
              <w:bottom w:val="nil"/>
              <w:right w:val="nil"/>
            </w:tcBorders>
            <w:vAlign w:val="bottom"/>
          </w:tcPr>
          <w:p w:rsidR="00742CC2" w:rsidRPr="00AE0D77" w:rsidRDefault="00742CC2" w:rsidP="0099145A">
            <w:pPr>
              <w:widowControl/>
              <w:tabs>
                <w:tab w:val="left" w:pos="5220"/>
              </w:tabs>
              <w:snapToGrid w:val="0"/>
              <w:spacing w:line="400" w:lineRule="exact"/>
              <w:ind w:rightChars="213" w:right="511"/>
              <w:jc w:val="right"/>
              <w:rPr>
                <w:rFonts w:eastAsia="標楷體"/>
                <w14:cntxtAlts/>
              </w:rPr>
            </w:pPr>
            <w:r w:rsidRPr="00AE0D77">
              <w:rPr>
                <w:rFonts w:eastAsia="標楷體"/>
                <w14:cntxtAlts/>
              </w:rPr>
              <w:t>1</w:t>
            </w:r>
            <w:r w:rsidR="009A2929" w:rsidRPr="00AE0D77">
              <w:rPr>
                <w:rFonts w:eastAsia="標楷體"/>
                <w14:cntxtAlts/>
              </w:rPr>
              <w:t>10</w:t>
            </w:r>
            <w:r w:rsidRPr="00AE0D77">
              <w:rPr>
                <w:rFonts w:eastAsia="標楷體"/>
                <w14:cntxtAlts/>
              </w:rPr>
              <w:t>,</w:t>
            </w:r>
            <w:r w:rsidR="009A2929" w:rsidRPr="00AE0D77">
              <w:rPr>
                <w:rFonts w:eastAsia="標楷體"/>
                <w14:cntxtAlts/>
              </w:rPr>
              <w:t>286</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1</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93,144</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39,679</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91,089</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139,829</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220,194</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2</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45,720</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39,362</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43,788</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69,910</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71,288</w:t>
            </w:r>
          </w:p>
        </w:tc>
      </w:tr>
      <w:tr w:rsidR="000C7664" w:rsidRPr="00AE0D77" w:rsidTr="0099145A">
        <w:trPr>
          <w:trHeight w:val="339"/>
          <w:jc w:val="center"/>
        </w:trPr>
        <w:tc>
          <w:tcPr>
            <w:tcW w:w="1844" w:type="dxa"/>
            <w:tcBorders>
              <w:top w:val="nil"/>
              <w:left w:val="nil"/>
              <w:bottom w:val="nil"/>
              <w:right w:val="single" w:sz="4" w:space="0" w:color="auto"/>
            </w:tcBorders>
            <w:vAlign w:val="center"/>
          </w:tcPr>
          <w:p w:rsidR="000C7664" w:rsidRPr="00AE0D77" w:rsidRDefault="000C7664" w:rsidP="0099145A">
            <w:pPr>
              <w:snapToGrid w:val="0"/>
              <w:spacing w:line="400" w:lineRule="exact"/>
              <w:ind w:rightChars="165" w:right="396"/>
              <w:jc w:val="right"/>
              <w:rPr>
                <w:rFonts w:eastAsia="標楷體"/>
                <w14:cntxtAlts/>
              </w:rPr>
            </w:pPr>
            <w:r w:rsidRPr="00AE0D77">
              <w:rPr>
                <w:rFonts w:eastAsia="標楷體"/>
                <w14:cntxtAlts/>
              </w:rPr>
              <w:t>3</w:t>
            </w:r>
            <w:r w:rsidRPr="00AE0D77">
              <w:rPr>
                <w:rFonts w:eastAsia="標楷體"/>
                <w14:cntxtAlts/>
              </w:rPr>
              <w:t>月</w:t>
            </w:r>
          </w:p>
        </w:tc>
        <w:tc>
          <w:tcPr>
            <w:tcW w:w="1213" w:type="dxa"/>
            <w:tcBorders>
              <w:top w:val="nil"/>
              <w:left w:val="single" w:sz="4" w:space="0" w:color="auto"/>
              <w:bottom w:val="nil"/>
              <w:right w:val="nil"/>
            </w:tcBorders>
            <w:vAlign w:val="center"/>
          </w:tcPr>
          <w:p w:rsidR="000C7664" w:rsidRPr="00AE0D77" w:rsidRDefault="000C7664" w:rsidP="00087024">
            <w:pPr>
              <w:snapToGrid w:val="0"/>
              <w:spacing w:line="400" w:lineRule="exact"/>
              <w:ind w:rightChars="100" w:right="240"/>
              <w:jc w:val="right"/>
              <w:rPr>
                <w:rFonts w:eastAsia="標楷體"/>
                <w14:cntxtAlts/>
              </w:rPr>
            </w:pPr>
            <w:r w:rsidRPr="00AE0D77">
              <w:rPr>
                <w:rFonts w:eastAsia="標楷體"/>
                <w14:cntxtAlts/>
              </w:rPr>
              <w:t>44,144</w:t>
            </w:r>
          </w:p>
        </w:tc>
        <w:tc>
          <w:tcPr>
            <w:tcW w:w="1149" w:type="dxa"/>
            <w:tcBorders>
              <w:top w:val="nil"/>
              <w:left w:val="nil"/>
              <w:bottom w:val="nil"/>
              <w:right w:val="nil"/>
            </w:tcBorders>
            <w:vAlign w:val="center"/>
          </w:tcPr>
          <w:p w:rsidR="000C7664" w:rsidRPr="00AE0D77" w:rsidRDefault="000C7664" w:rsidP="00087024">
            <w:pPr>
              <w:snapToGrid w:val="0"/>
              <w:spacing w:line="400" w:lineRule="exact"/>
              <w:ind w:rightChars="57" w:right="137"/>
              <w:jc w:val="right"/>
              <w:rPr>
                <w:rFonts w:eastAsia="標楷體"/>
                <w14:cntxtAlts/>
              </w:rPr>
            </w:pPr>
            <w:r w:rsidRPr="00AE0D77">
              <w:rPr>
                <w:rFonts w:eastAsia="標楷體"/>
                <w14:cntxtAlts/>
              </w:rPr>
              <w:t>39,781</w:t>
            </w:r>
          </w:p>
        </w:tc>
        <w:tc>
          <w:tcPr>
            <w:tcW w:w="1701" w:type="dxa"/>
            <w:tcBorders>
              <w:top w:val="nil"/>
              <w:left w:val="nil"/>
              <w:bottom w:val="nil"/>
              <w:right w:val="nil"/>
            </w:tcBorders>
            <w:vAlign w:val="center"/>
          </w:tcPr>
          <w:p w:rsidR="000C7664" w:rsidRPr="00AE0D77" w:rsidRDefault="000C7664" w:rsidP="00087024">
            <w:pPr>
              <w:snapToGrid w:val="0"/>
              <w:spacing w:line="400" w:lineRule="exact"/>
              <w:ind w:rightChars="175" w:right="420"/>
              <w:jc w:val="right"/>
              <w:rPr>
                <w:rFonts w:eastAsia="標楷體"/>
                <w14:cntxtAlts/>
              </w:rPr>
            </w:pPr>
            <w:r w:rsidRPr="00AE0D77">
              <w:rPr>
                <w:rFonts w:eastAsia="標楷體"/>
                <w14:cntxtAlts/>
              </w:rPr>
              <w:t>41,943</w:t>
            </w:r>
          </w:p>
        </w:tc>
        <w:tc>
          <w:tcPr>
            <w:tcW w:w="1686" w:type="dxa"/>
            <w:tcBorders>
              <w:top w:val="nil"/>
              <w:left w:val="nil"/>
              <w:bottom w:val="nil"/>
              <w:right w:val="nil"/>
            </w:tcBorders>
            <w:vAlign w:val="center"/>
          </w:tcPr>
          <w:p w:rsidR="000C7664" w:rsidRPr="00AE0D77" w:rsidRDefault="000C7664" w:rsidP="00087024">
            <w:pPr>
              <w:snapToGrid w:val="0"/>
              <w:spacing w:line="400" w:lineRule="exact"/>
              <w:ind w:rightChars="228" w:right="547"/>
              <w:jc w:val="right"/>
              <w:rPr>
                <w:rFonts w:eastAsia="標楷體"/>
                <w14:cntxtAlts/>
              </w:rPr>
            </w:pPr>
            <w:r w:rsidRPr="00AE0D77">
              <w:rPr>
                <w:rFonts w:eastAsia="標楷體"/>
                <w14:cntxtAlts/>
              </w:rPr>
              <w:t>72,207</w:t>
            </w:r>
          </w:p>
        </w:tc>
        <w:tc>
          <w:tcPr>
            <w:tcW w:w="1665" w:type="dxa"/>
            <w:tcBorders>
              <w:top w:val="nil"/>
              <w:left w:val="nil"/>
              <w:bottom w:val="nil"/>
              <w:right w:val="nil"/>
            </w:tcBorders>
            <w:vAlign w:val="bottom"/>
          </w:tcPr>
          <w:p w:rsidR="000C7664" w:rsidRPr="00AE0D77" w:rsidRDefault="000C7664" w:rsidP="00087024">
            <w:pPr>
              <w:widowControl/>
              <w:tabs>
                <w:tab w:val="left" w:pos="5220"/>
              </w:tabs>
              <w:snapToGrid w:val="0"/>
              <w:spacing w:line="400" w:lineRule="exact"/>
              <w:ind w:rightChars="213" w:right="511"/>
              <w:jc w:val="right"/>
              <w:rPr>
                <w:rFonts w:eastAsia="標楷體"/>
                <w14:cntxtAlts/>
              </w:rPr>
            </w:pPr>
            <w:r w:rsidRPr="00AE0D77">
              <w:rPr>
                <w:rFonts w:eastAsia="標楷體"/>
                <w14:cntxtAlts/>
              </w:rPr>
              <w:t>73,431</w:t>
            </w:r>
          </w:p>
        </w:tc>
      </w:tr>
      <w:tr w:rsidR="00742CC2" w:rsidRPr="00AE0D77" w:rsidTr="0099145A">
        <w:trPr>
          <w:trHeight w:val="339"/>
          <w:jc w:val="center"/>
        </w:trPr>
        <w:tc>
          <w:tcPr>
            <w:tcW w:w="1844" w:type="dxa"/>
            <w:tcBorders>
              <w:top w:val="nil"/>
              <w:left w:val="nil"/>
              <w:bottom w:val="single" w:sz="4" w:space="0" w:color="auto"/>
              <w:right w:val="single" w:sz="4" w:space="0" w:color="auto"/>
            </w:tcBorders>
            <w:vAlign w:val="center"/>
          </w:tcPr>
          <w:p w:rsidR="00742CC2" w:rsidRPr="00AE0D77" w:rsidRDefault="00742CC2" w:rsidP="0099145A">
            <w:pPr>
              <w:snapToGrid w:val="0"/>
              <w:spacing w:line="400" w:lineRule="exact"/>
              <w:ind w:rightChars="165" w:right="396"/>
              <w:jc w:val="right"/>
              <w:rPr>
                <w:rFonts w:eastAsia="標楷體"/>
                <w14:cntxtAlts/>
              </w:rPr>
            </w:pPr>
            <w:r w:rsidRPr="00AE0D77">
              <w:rPr>
                <w:rFonts w:eastAsia="標楷體"/>
                <w14:cntxtAlts/>
              </w:rPr>
              <w:t>4</w:t>
            </w:r>
            <w:r w:rsidRPr="00AE0D77">
              <w:rPr>
                <w:rFonts w:eastAsia="標楷體"/>
                <w14:cntxtAlts/>
              </w:rPr>
              <w:t>月</w:t>
            </w:r>
          </w:p>
        </w:tc>
        <w:tc>
          <w:tcPr>
            <w:tcW w:w="1213" w:type="dxa"/>
            <w:tcBorders>
              <w:top w:val="nil"/>
              <w:left w:val="single" w:sz="4" w:space="0" w:color="auto"/>
              <w:bottom w:val="single" w:sz="4" w:space="0" w:color="auto"/>
              <w:right w:val="nil"/>
            </w:tcBorders>
            <w:vAlign w:val="center"/>
          </w:tcPr>
          <w:p w:rsidR="00742CC2" w:rsidRPr="00AE0D77" w:rsidRDefault="000C7664" w:rsidP="0099145A">
            <w:pPr>
              <w:snapToGrid w:val="0"/>
              <w:spacing w:line="400" w:lineRule="exact"/>
              <w:ind w:rightChars="100" w:right="240"/>
              <w:jc w:val="right"/>
              <w:rPr>
                <w:rFonts w:eastAsia="標楷體"/>
                <w14:cntxtAlts/>
              </w:rPr>
            </w:pPr>
            <w:r w:rsidRPr="00AE0D77">
              <w:rPr>
                <w:rFonts w:eastAsia="標楷體"/>
                <w14:cntxtAlts/>
              </w:rPr>
              <w:t>44</w:t>
            </w:r>
            <w:r w:rsidR="00742CC2" w:rsidRPr="00AE0D77">
              <w:rPr>
                <w:rFonts w:eastAsia="標楷體"/>
                <w14:cntxtAlts/>
              </w:rPr>
              <w:t>,</w:t>
            </w:r>
            <w:r w:rsidRPr="00AE0D77">
              <w:rPr>
                <w:rFonts w:eastAsia="標楷體"/>
                <w14:cntxtAlts/>
              </w:rPr>
              <w:t>359</w:t>
            </w:r>
          </w:p>
        </w:tc>
        <w:tc>
          <w:tcPr>
            <w:tcW w:w="1149" w:type="dxa"/>
            <w:tcBorders>
              <w:top w:val="nil"/>
              <w:left w:val="nil"/>
              <w:bottom w:val="single" w:sz="4" w:space="0" w:color="auto"/>
              <w:right w:val="nil"/>
            </w:tcBorders>
            <w:vAlign w:val="center"/>
          </w:tcPr>
          <w:p w:rsidR="00742CC2" w:rsidRPr="00AE0D77" w:rsidRDefault="00742CC2" w:rsidP="0099145A">
            <w:pPr>
              <w:snapToGrid w:val="0"/>
              <w:spacing w:line="400" w:lineRule="exact"/>
              <w:ind w:rightChars="57" w:right="137"/>
              <w:jc w:val="right"/>
              <w:rPr>
                <w:rFonts w:eastAsia="標楷體"/>
                <w14:cntxtAlts/>
              </w:rPr>
            </w:pPr>
            <w:r w:rsidRPr="00AE0D77">
              <w:rPr>
                <w:rFonts w:eastAsia="標楷體"/>
                <w14:cntxtAlts/>
              </w:rPr>
              <w:t>39,</w:t>
            </w:r>
            <w:r w:rsidR="003D59CF" w:rsidRPr="00AE0D77">
              <w:rPr>
                <w:rFonts w:eastAsia="標楷體"/>
                <w14:cntxtAlts/>
              </w:rPr>
              <w:t>826</w:t>
            </w:r>
          </w:p>
        </w:tc>
        <w:tc>
          <w:tcPr>
            <w:tcW w:w="1701" w:type="dxa"/>
            <w:tcBorders>
              <w:top w:val="nil"/>
              <w:left w:val="nil"/>
              <w:bottom w:val="single" w:sz="4" w:space="0" w:color="auto"/>
              <w:right w:val="nil"/>
            </w:tcBorders>
            <w:vAlign w:val="center"/>
          </w:tcPr>
          <w:p w:rsidR="00742CC2" w:rsidRPr="00AE0D77" w:rsidRDefault="00742CC2" w:rsidP="0099145A">
            <w:pPr>
              <w:snapToGrid w:val="0"/>
              <w:spacing w:line="400" w:lineRule="exact"/>
              <w:ind w:rightChars="175" w:right="420"/>
              <w:jc w:val="right"/>
              <w:rPr>
                <w:rFonts w:eastAsia="標楷體"/>
                <w14:cntxtAlts/>
              </w:rPr>
            </w:pPr>
            <w:r w:rsidRPr="00AE0D77">
              <w:rPr>
                <w:rFonts w:eastAsia="標楷體"/>
                <w14:cntxtAlts/>
              </w:rPr>
              <w:t>4</w:t>
            </w:r>
            <w:r w:rsidR="009A2929" w:rsidRPr="00AE0D77">
              <w:rPr>
                <w:rFonts w:eastAsia="標楷體"/>
                <w14:cntxtAlts/>
              </w:rPr>
              <w:t>1</w:t>
            </w:r>
            <w:r w:rsidRPr="00AE0D77">
              <w:rPr>
                <w:rFonts w:eastAsia="標楷體"/>
                <w14:cntxtAlts/>
              </w:rPr>
              <w:t>,</w:t>
            </w:r>
            <w:r w:rsidR="009A2929" w:rsidRPr="00AE0D77">
              <w:rPr>
                <w:rFonts w:eastAsia="標楷體"/>
                <w14:cntxtAlts/>
              </w:rPr>
              <w:t>838</w:t>
            </w:r>
          </w:p>
        </w:tc>
        <w:tc>
          <w:tcPr>
            <w:tcW w:w="1686" w:type="dxa"/>
            <w:tcBorders>
              <w:top w:val="nil"/>
              <w:left w:val="nil"/>
              <w:bottom w:val="single" w:sz="4" w:space="0" w:color="auto"/>
              <w:right w:val="nil"/>
            </w:tcBorders>
            <w:vAlign w:val="center"/>
          </w:tcPr>
          <w:p w:rsidR="00742CC2" w:rsidRPr="00AE0D77" w:rsidRDefault="00742CC2" w:rsidP="0099145A">
            <w:pPr>
              <w:snapToGrid w:val="0"/>
              <w:spacing w:line="400" w:lineRule="exact"/>
              <w:ind w:rightChars="228" w:right="547"/>
              <w:jc w:val="right"/>
              <w:rPr>
                <w:rFonts w:eastAsia="標楷體"/>
                <w14:cntxtAlts/>
              </w:rPr>
            </w:pPr>
            <w:r w:rsidRPr="00AE0D77">
              <w:rPr>
                <w:rFonts w:eastAsia="標楷體"/>
                <w14:cntxtAlts/>
              </w:rPr>
              <w:t>7</w:t>
            </w:r>
            <w:r w:rsidR="009A2929" w:rsidRPr="00AE0D77">
              <w:rPr>
                <w:rFonts w:eastAsia="標楷體"/>
                <w14:cntxtAlts/>
              </w:rPr>
              <w:t>1</w:t>
            </w:r>
            <w:r w:rsidRPr="00AE0D77">
              <w:rPr>
                <w:rFonts w:eastAsia="標楷體"/>
                <w14:cntxtAlts/>
              </w:rPr>
              <w:t>,</w:t>
            </w:r>
            <w:r w:rsidR="009A2929" w:rsidRPr="00AE0D77">
              <w:rPr>
                <w:rFonts w:eastAsia="標楷體"/>
                <w14:cntxtAlts/>
              </w:rPr>
              <w:t>686</w:t>
            </w:r>
          </w:p>
        </w:tc>
        <w:tc>
          <w:tcPr>
            <w:tcW w:w="1665" w:type="dxa"/>
            <w:tcBorders>
              <w:top w:val="nil"/>
              <w:left w:val="nil"/>
              <w:bottom w:val="single" w:sz="4" w:space="0" w:color="auto"/>
              <w:right w:val="nil"/>
            </w:tcBorders>
            <w:vAlign w:val="bottom"/>
          </w:tcPr>
          <w:p w:rsidR="00742CC2" w:rsidRPr="00AE0D77" w:rsidRDefault="009A2929" w:rsidP="0099145A">
            <w:pPr>
              <w:widowControl/>
              <w:tabs>
                <w:tab w:val="left" w:pos="5220"/>
              </w:tabs>
              <w:snapToGrid w:val="0"/>
              <w:spacing w:line="400" w:lineRule="exact"/>
              <w:ind w:rightChars="213" w:right="511"/>
              <w:jc w:val="right"/>
              <w:rPr>
                <w:rFonts w:eastAsia="標楷體"/>
                <w14:cntxtAlts/>
              </w:rPr>
            </w:pPr>
            <w:r w:rsidRPr="00AE0D77">
              <w:rPr>
                <w:rFonts w:eastAsia="標楷體"/>
                <w14:cntxtAlts/>
              </w:rPr>
              <w:t>76</w:t>
            </w:r>
            <w:r w:rsidR="00742CC2" w:rsidRPr="00AE0D77">
              <w:rPr>
                <w:rFonts w:eastAsia="標楷體"/>
                <w14:cntxtAlts/>
              </w:rPr>
              <w:t>,</w:t>
            </w:r>
            <w:r w:rsidRPr="00AE0D77">
              <w:rPr>
                <w:rFonts w:eastAsia="標楷體"/>
                <w14:cntxtAlts/>
              </w:rPr>
              <w:t>223</w:t>
            </w:r>
          </w:p>
        </w:tc>
      </w:tr>
      <w:tr w:rsidR="00742CC2" w:rsidRPr="00AE0D77" w:rsidTr="0099145A">
        <w:trPr>
          <w:trHeight w:val="702"/>
          <w:jc w:val="center"/>
        </w:trPr>
        <w:tc>
          <w:tcPr>
            <w:tcW w:w="1844" w:type="dxa"/>
            <w:tcBorders>
              <w:top w:val="single" w:sz="4" w:space="0" w:color="auto"/>
              <w:bottom w:val="single" w:sz="4" w:space="0" w:color="auto"/>
            </w:tcBorders>
            <w:vAlign w:val="center"/>
          </w:tcPr>
          <w:p w:rsidR="00742CC2" w:rsidRPr="00AE0D77" w:rsidRDefault="00742CC2" w:rsidP="0099145A">
            <w:pPr>
              <w:snapToGrid w:val="0"/>
              <w:spacing w:line="320" w:lineRule="exact"/>
              <w:jc w:val="center"/>
              <w:rPr>
                <w:rFonts w:eastAsia="標楷體"/>
                <w:w w:val="98"/>
                <w14:cntxtAlts/>
              </w:rPr>
            </w:pPr>
            <w:r w:rsidRPr="00AE0D77">
              <w:rPr>
                <w:rFonts w:eastAsia="標楷體"/>
                <w:w w:val="98"/>
                <w14:cntxtAlts/>
              </w:rPr>
              <w:t>較</w:t>
            </w:r>
            <w:r w:rsidRPr="00AE0D77">
              <w:rPr>
                <w:rFonts w:eastAsia="標楷體"/>
                <w:w w:val="98"/>
                <w14:cntxtAlts/>
              </w:rPr>
              <w:t>10</w:t>
            </w:r>
            <w:r w:rsidR="000C7664" w:rsidRPr="00AE0D77">
              <w:rPr>
                <w:rFonts w:eastAsia="標楷體"/>
                <w:w w:val="98"/>
                <w14:cntxtAlts/>
              </w:rPr>
              <w:t>5</w:t>
            </w:r>
            <w:r w:rsidRPr="00AE0D77">
              <w:rPr>
                <w:rFonts w:eastAsia="標楷體"/>
                <w:w w:val="98"/>
                <w14:cntxtAlts/>
              </w:rPr>
              <w:t>年同月</w:t>
            </w:r>
          </w:p>
          <w:p w:rsidR="00742CC2" w:rsidRPr="00AE0D77" w:rsidRDefault="00742CC2" w:rsidP="0099145A">
            <w:pPr>
              <w:snapToGrid w:val="0"/>
              <w:spacing w:line="320" w:lineRule="exact"/>
              <w:jc w:val="center"/>
              <w:rPr>
                <w:rFonts w:eastAsia="標楷體"/>
                <w:w w:val="98"/>
                <w14:cntxtAlts/>
              </w:rPr>
            </w:pPr>
            <w:r w:rsidRPr="00AE0D77">
              <w:rPr>
                <w:rFonts w:eastAsia="標楷體"/>
                <w:w w:val="98"/>
                <w14:cntxtAlts/>
              </w:rPr>
              <w:t>變動</w:t>
            </w:r>
            <w:r w:rsidRPr="00AE0D77">
              <w:rPr>
                <w:rFonts w:eastAsia="標楷體"/>
                <w:w w:val="98"/>
                <w14:cntxtAlts/>
              </w:rPr>
              <w:t>(%)</w:t>
            </w:r>
          </w:p>
        </w:tc>
        <w:tc>
          <w:tcPr>
            <w:tcW w:w="1213" w:type="dxa"/>
            <w:tcBorders>
              <w:top w:val="single" w:sz="4" w:space="0" w:color="auto"/>
              <w:bottom w:val="single" w:sz="4" w:space="0" w:color="auto"/>
              <w:right w:val="nil"/>
            </w:tcBorders>
            <w:vAlign w:val="center"/>
          </w:tcPr>
          <w:p w:rsidR="00742CC2" w:rsidRPr="00AE0D77" w:rsidRDefault="000C7664" w:rsidP="0099145A">
            <w:pPr>
              <w:snapToGrid w:val="0"/>
              <w:spacing w:line="400" w:lineRule="exact"/>
              <w:ind w:leftChars="99" w:left="238" w:rightChars="100" w:right="240"/>
              <w:jc w:val="center"/>
              <w:rPr>
                <w:rFonts w:eastAsia="標楷體"/>
                <w14:cntxtAlts/>
              </w:rPr>
            </w:pPr>
            <w:r w:rsidRPr="00AE0D77">
              <w:rPr>
                <w:rFonts w:eastAsia="標楷體"/>
                <w14:cntxtAlts/>
              </w:rPr>
              <w:t>1.83</w:t>
            </w:r>
          </w:p>
        </w:tc>
        <w:tc>
          <w:tcPr>
            <w:tcW w:w="1149" w:type="dxa"/>
            <w:tcBorders>
              <w:top w:val="single" w:sz="4" w:space="0" w:color="auto"/>
              <w:left w:val="nil"/>
              <w:bottom w:val="single" w:sz="4" w:space="0" w:color="auto"/>
              <w:right w:val="nil"/>
            </w:tcBorders>
            <w:vAlign w:val="center"/>
          </w:tcPr>
          <w:p w:rsidR="00742CC2" w:rsidRPr="00AE0D77" w:rsidRDefault="003D59CF" w:rsidP="0099145A">
            <w:pPr>
              <w:snapToGrid w:val="0"/>
              <w:spacing w:line="400" w:lineRule="exact"/>
              <w:ind w:leftChars="66" w:left="158" w:rightChars="-60" w:right="-144"/>
              <w:jc w:val="center"/>
              <w:rPr>
                <w:rFonts w:eastAsia="標楷體"/>
                <w14:cntxtAlts/>
              </w:rPr>
            </w:pPr>
            <w:r w:rsidRPr="00AE0D77">
              <w:rPr>
                <w:rFonts w:eastAsia="標楷體"/>
                <w14:cntxtAlts/>
              </w:rPr>
              <w:t>1.49</w:t>
            </w:r>
          </w:p>
        </w:tc>
        <w:tc>
          <w:tcPr>
            <w:tcW w:w="1701" w:type="dxa"/>
            <w:tcBorders>
              <w:top w:val="single" w:sz="4" w:space="0" w:color="auto"/>
              <w:left w:val="nil"/>
              <w:bottom w:val="single" w:sz="4" w:space="0" w:color="auto"/>
              <w:right w:val="nil"/>
            </w:tcBorders>
            <w:vAlign w:val="center"/>
          </w:tcPr>
          <w:p w:rsidR="00742CC2" w:rsidRPr="00AE0D77" w:rsidRDefault="009A2929" w:rsidP="0099145A">
            <w:pPr>
              <w:tabs>
                <w:tab w:val="left" w:pos="1562"/>
              </w:tabs>
              <w:snapToGrid w:val="0"/>
              <w:spacing w:line="400" w:lineRule="exact"/>
              <w:ind w:leftChars="178" w:left="427" w:rightChars="117" w:right="281"/>
              <w:jc w:val="center"/>
              <w:rPr>
                <w:rFonts w:eastAsia="標楷體"/>
                <w14:cntxtAlts/>
              </w:rPr>
            </w:pPr>
            <w:r w:rsidRPr="00AE0D77">
              <w:rPr>
                <w:rFonts w:eastAsia="標楷體"/>
                <w14:cntxtAlts/>
              </w:rPr>
              <w:t>2.81</w:t>
            </w:r>
          </w:p>
        </w:tc>
        <w:tc>
          <w:tcPr>
            <w:tcW w:w="1686" w:type="dxa"/>
            <w:tcBorders>
              <w:top w:val="single" w:sz="4" w:space="0" w:color="auto"/>
              <w:left w:val="nil"/>
              <w:bottom w:val="single" w:sz="4" w:space="0" w:color="auto"/>
              <w:right w:val="nil"/>
            </w:tcBorders>
            <w:vAlign w:val="center"/>
          </w:tcPr>
          <w:p w:rsidR="00742CC2" w:rsidRPr="00AE0D77" w:rsidRDefault="00742CC2" w:rsidP="0099145A">
            <w:pPr>
              <w:widowControl/>
              <w:tabs>
                <w:tab w:val="left" w:pos="5220"/>
              </w:tabs>
              <w:snapToGrid w:val="0"/>
              <w:spacing w:line="400" w:lineRule="exact"/>
              <w:ind w:leftChars="119" w:left="286" w:rightChars="100" w:right="240"/>
              <w:jc w:val="center"/>
              <w:rPr>
                <w:rFonts w:eastAsia="標楷體"/>
                <w14:cntxtAlts/>
              </w:rPr>
            </w:pPr>
            <w:r w:rsidRPr="00AE0D77">
              <w:rPr>
                <w:rFonts w:eastAsia="標楷體"/>
                <w14:cntxtAlts/>
              </w:rPr>
              <w:t>-</w:t>
            </w:r>
            <w:r w:rsidR="009A2929" w:rsidRPr="00AE0D77">
              <w:rPr>
                <w:rFonts w:eastAsia="標楷體"/>
                <w14:cntxtAlts/>
              </w:rPr>
              <w:t>2.65</w:t>
            </w:r>
          </w:p>
        </w:tc>
        <w:tc>
          <w:tcPr>
            <w:tcW w:w="1665" w:type="dxa"/>
            <w:tcBorders>
              <w:top w:val="single" w:sz="4" w:space="0" w:color="auto"/>
              <w:left w:val="nil"/>
              <w:bottom w:val="single" w:sz="4" w:space="0" w:color="auto"/>
            </w:tcBorders>
            <w:vAlign w:val="center"/>
          </w:tcPr>
          <w:p w:rsidR="00742CC2" w:rsidRPr="00AE0D77" w:rsidRDefault="00742CC2" w:rsidP="0099145A">
            <w:pPr>
              <w:widowControl/>
              <w:tabs>
                <w:tab w:val="left" w:pos="5220"/>
              </w:tabs>
              <w:snapToGrid w:val="0"/>
              <w:spacing w:line="400" w:lineRule="exact"/>
              <w:ind w:rightChars="11" w:right="26"/>
              <w:jc w:val="center"/>
              <w:rPr>
                <w:rFonts w:eastAsia="標楷體"/>
                <w14:cntxtAlts/>
              </w:rPr>
            </w:pPr>
            <w:r w:rsidRPr="00AE0D77">
              <w:rPr>
                <w:rFonts w:eastAsia="標楷體"/>
                <w14:cntxtAlts/>
              </w:rPr>
              <w:t>-4.</w:t>
            </w:r>
            <w:r w:rsidR="009A2929" w:rsidRPr="00AE0D77">
              <w:rPr>
                <w:rFonts w:eastAsia="標楷體"/>
                <w14:cntxtAlts/>
              </w:rPr>
              <w:t>86</w:t>
            </w:r>
          </w:p>
        </w:tc>
      </w:tr>
      <w:tr w:rsidR="00742CC2" w:rsidRPr="00AE0D77" w:rsidTr="0099145A">
        <w:trPr>
          <w:trHeight w:val="702"/>
          <w:jc w:val="center"/>
        </w:trPr>
        <w:tc>
          <w:tcPr>
            <w:tcW w:w="1844" w:type="dxa"/>
            <w:tcBorders>
              <w:top w:val="single" w:sz="4" w:space="0" w:color="auto"/>
            </w:tcBorders>
            <w:vAlign w:val="center"/>
          </w:tcPr>
          <w:p w:rsidR="00742CC2" w:rsidRPr="00AE0D77" w:rsidRDefault="00742CC2" w:rsidP="0099145A">
            <w:pPr>
              <w:snapToGrid w:val="0"/>
              <w:spacing w:line="320" w:lineRule="exact"/>
              <w:jc w:val="center"/>
              <w:rPr>
                <w:rFonts w:eastAsia="標楷體"/>
                <w:w w:val="98"/>
                <w14:cntxtAlts/>
              </w:rPr>
            </w:pPr>
            <w:r w:rsidRPr="00AE0D77">
              <w:rPr>
                <w:rFonts w:eastAsia="標楷體"/>
                <w:w w:val="98"/>
                <w14:cntxtAlts/>
              </w:rPr>
              <w:t>累計較</w:t>
            </w:r>
            <w:r w:rsidR="000C7664" w:rsidRPr="00AE0D77">
              <w:rPr>
                <w:rFonts w:eastAsia="標楷體"/>
                <w:w w:val="98"/>
                <w14:cntxtAlts/>
              </w:rPr>
              <w:t>105</w:t>
            </w:r>
            <w:r w:rsidRPr="00AE0D77">
              <w:rPr>
                <w:rFonts w:eastAsia="標楷體"/>
                <w:w w:val="98"/>
                <w14:cntxtAlts/>
              </w:rPr>
              <w:t>年</w:t>
            </w:r>
          </w:p>
          <w:p w:rsidR="00742CC2" w:rsidRPr="00AE0D77" w:rsidRDefault="00742CC2" w:rsidP="0099145A">
            <w:pPr>
              <w:snapToGrid w:val="0"/>
              <w:spacing w:line="320" w:lineRule="exact"/>
              <w:jc w:val="center"/>
              <w:rPr>
                <w:rFonts w:eastAsia="標楷體"/>
                <w:w w:val="98"/>
                <w14:cntxtAlts/>
              </w:rPr>
            </w:pPr>
            <w:r w:rsidRPr="00AE0D77">
              <w:rPr>
                <w:rFonts w:eastAsia="標楷體"/>
                <w:w w:val="98"/>
                <w14:cntxtAlts/>
              </w:rPr>
              <w:t>同期變動</w:t>
            </w:r>
            <w:r w:rsidRPr="00AE0D77">
              <w:rPr>
                <w:rFonts w:eastAsia="標楷體"/>
                <w:w w:val="98"/>
                <w14:cntxtAlts/>
              </w:rPr>
              <w:t>(%)</w:t>
            </w:r>
          </w:p>
        </w:tc>
        <w:tc>
          <w:tcPr>
            <w:tcW w:w="1213" w:type="dxa"/>
            <w:tcBorders>
              <w:top w:val="single" w:sz="4" w:space="0" w:color="auto"/>
              <w:right w:val="nil"/>
            </w:tcBorders>
            <w:vAlign w:val="center"/>
          </w:tcPr>
          <w:p w:rsidR="00742CC2" w:rsidRPr="00AE0D77" w:rsidRDefault="000C7664" w:rsidP="000C7664">
            <w:pPr>
              <w:snapToGrid w:val="0"/>
              <w:spacing w:line="400" w:lineRule="exact"/>
              <w:ind w:leftChars="99" w:left="238" w:rightChars="100" w:right="240"/>
              <w:jc w:val="center"/>
              <w:rPr>
                <w:rFonts w:eastAsia="標楷體"/>
                <w14:cntxtAlts/>
              </w:rPr>
            </w:pPr>
            <w:r w:rsidRPr="00AE0D77">
              <w:rPr>
                <w:rFonts w:eastAsia="標楷體"/>
                <w14:cntxtAlts/>
              </w:rPr>
              <w:t>2.26</w:t>
            </w:r>
          </w:p>
        </w:tc>
        <w:tc>
          <w:tcPr>
            <w:tcW w:w="1149" w:type="dxa"/>
            <w:tcBorders>
              <w:top w:val="single" w:sz="4" w:space="0" w:color="auto"/>
              <w:left w:val="nil"/>
              <w:right w:val="nil"/>
            </w:tcBorders>
            <w:vAlign w:val="center"/>
          </w:tcPr>
          <w:p w:rsidR="00742CC2" w:rsidRPr="00AE0D77" w:rsidRDefault="00742CC2" w:rsidP="0099145A">
            <w:pPr>
              <w:snapToGrid w:val="0"/>
              <w:spacing w:line="400" w:lineRule="exact"/>
              <w:ind w:leftChars="66" w:left="158" w:rightChars="-60" w:right="-144"/>
              <w:jc w:val="center"/>
              <w:rPr>
                <w:rFonts w:eastAsia="標楷體"/>
                <w14:cntxtAlts/>
              </w:rPr>
            </w:pPr>
            <w:r w:rsidRPr="00AE0D77">
              <w:rPr>
                <w:rFonts w:eastAsia="標楷體"/>
                <w14:cntxtAlts/>
              </w:rPr>
              <w:t>1.5</w:t>
            </w:r>
            <w:r w:rsidR="003D59CF" w:rsidRPr="00AE0D77">
              <w:rPr>
                <w:rFonts w:eastAsia="標楷體"/>
                <w14:cntxtAlts/>
              </w:rPr>
              <w:t>5</w:t>
            </w:r>
          </w:p>
        </w:tc>
        <w:tc>
          <w:tcPr>
            <w:tcW w:w="1701" w:type="dxa"/>
            <w:tcBorders>
              <w:top w:val="single" w:sz="4" w:space="0" w:color="auto"/>
              <w:left w:val="nil"/>
              <w:right w:val="nil"/>
            </w:tcBorders>
            <w:vAlign w:val="center"/>
          </w:tcPr>
          <w:p w:rsidR="00742CC2" w:rsidRPr="00AE0D77" w:rsidRDefault="009A2929" w:rsidP="0099145A">
            <w:pPr>
              <w:tabs>
                <w:tab w:val="left" w:pos="1562"/>
              </w:tabs>
              <w:snapToGrid w:val="0"/>
              <w:spacing w:line="400" w:lineRule="exact"/>
              <w:ind w:leftChars="178" w:left="427" w:rightChars="117" w:right="281"/>
              <w:jc w:val="center"/>
              <w:rPr>
                <w:rFonts w:eastAsia="標楷體"/>
                <w14:cntxtAlts/>
              </w:rPr>
            </w:pPr>
            <w:r w:rsidRPr="00AE0D77">
              <w:rPr>
                <w:rFonts w:eastAsia="標楷體"/>
                <w14:cntxtAlts/>
              </w:rPr>
              <w:t>2.67</w:t>
            </w:r>
          </w:p>
        </w:tc>
        <w:tc>
          <w:tcPr>
            <w:tcW w:w="1686" w:type="dxa"/>
            <w:tcBorders>
              <w:top w:val="single" w:sz="4" w:space="0" w:color="auto"/>
              <w:left w:val="nil"/>
              <w:right w:val="nil"/>
            </w:tcBorders>
            <w:vAlign w:val="center"/>
          </w:tcPr>
          <w:p w:rsidR="00742CC2" w:rsidRPr="00AE0D77" w:rsidRDefault="00742CC2" w:rsidP="0099145A">
            <w:pPr>
              <w:widowControl/>
              <w:tabs>
                <w:tab w:val="left" w:pos="5220"/>
              </w:tabs>
              <w:snapToGrid w:val="0"/>
              <w:spacing w:line="400" w:lineRule="exact"/>
              <w:ind w:leftChars="119" w:left="286" w:rightChars="100" w:right="240"/>
              <w:jc w:val="center"/>
              <w:rPr>
                <w:rFonts w:eastAsia="標楷體"/>
                <w14:cntxtAlts/>
              </w:rPr>
            </w:pPr>
            <w:r w:rsidRPr="00AE0D77">
              <w:rPr>
                <w:rFonts w:eastAsia="標楷體"/>
                <w14:cntxtAlts/>
              </w:rPr>
              <w:t>-1.</w:t>
            </w:r>
            <w:r w:rsidR="009A2929" w:rsidRPr="00AE0D77">
              <w:rPr>
                <w:rFonts w:eastAsia="標楷體"/>
                <w14:cntxtAlts/>
              </w:rPr>
              <w:t>07</w:t>
            </w:r>
          </w:p>
        </w:tc>
        <w:tc>
          <w:tcPr>
            <w:tcW w:w="1665" w:type="dxa"/>
            <w:tcBorders>
              <w:top w:val="single" w:sz="4" w:space="0" w:color="auto"/>
              <w:left w:val="nil"/>
            </w:tcBorders>
            <w:vAlign w:val="center"/>
          </w:tcPr>
          <w:p w:rsidR="00742CC2" w:rsidRPr="00AE0D77" w:rsidRDefault="009A2929" w:rsidP="0099145A">
            <w:pPr>
              <w:widowControl/>
              <w:tabs>
                <w:tab w:val="left" w:pos="5220"/>
              </w:tabs>
              <w:snapToGrid w:val="0"/>
              <w:spacing w:line="400" w:lineRule="exact"/>
              <w:ind w:rightChars="11" w:right="26"/>
              <w:jc w:val="center"/>
              <w:rPr>
                <w:rFonts w:eastAsia="標楷體"/>
                <w14:cntxtAlts/>
              </w:rPr>
            </w:pPr>
            <w:r w:rsidRPr="00AE0D77">
              <w:rPr>
                <w:rFonts w:eastAsia="標楷體"/>
                <w14:cntxtAlts/>
              </w:rPr>
              <w:t>1.09</w:t>
            </w:r>
          </w:p>
        </w:tc>
      </w:tr>
    </w:tbl>
    <w:p w:rsidR="00742CC2" w:rsidRPr="00AE0D77" w:rsidRDefault="00742CC2" w:rsidP="00742CC2">
      <w:pPr>
        <w:spacing w:line="360" w:lineRule="exact"/>
        <w:ind w:left="425" w:hangingChars="193" w:hanging="425"/>
        <w:rPr>
          <w:rFonts w:eastAsia="標楷體"/>
          <w:sz w:val="22"/>
          <w:szCs w:val="22"/>
        </w:rPr>
      </w:pPr>
      <w:r w:rsidRPr="00AE0D77">
        <w:rPr>
          <w:rFonts w:eastAsia="標楷體"/>
          <w:sz w:val="22"/>
          <w:szCs w:val="22"/>
        </w:rPr>
        <w:t>註：表內薪資為名目數據。</w:t>
      </w:r>
    </w:p>
    <w:p w:rsidR="00742CC2" w:rsidRPr="00AE0D77" w:rsidRDefault="00742CC2" w:rsidP="00742CC2">
      <w:pPr>
        <w:snapToGrid w:val="0"/>
        <w:spacing w:before="50" w:line="300" w:lineRule="auto"/>
        <w:ind w:rightChars="18" w:right="43"/>
        <w:rPr>
          <w:rFonts w:eastAsia="標楷體"/>
          <w:b/>
          <w:bCs/>
          <w:sz w:val="28"/>
        </w:rPr>
      </w:pPr>
      <w:r w:rsidRPr="00AE0D77">
        <w:rPr>
          <w:rFonts w:eastAsia="標楷體"/>
          <w:sz w:val="22"/>
          <w:szCs w:val="22"/>
        </w:rPr>
        <w:t>資料來源：行政院主計總處。</w:t>
      </w:r>
    </w:p>
    <w:p w:rsidR="004B772B" w:rsidRPr="00AE0D77" w:rsidRDefault="004B772B" w:rsidP="0050265C">
      <w:pPr>
        <w:snapToGrid w:val="0"/>
        <w:spacing w:before="50" w:line="300" w:lineRule="auto"/>
        <w:ind w:rightChars="18" w:right="43"/>
        <w:rPr>
          <w:rFonts w:eastAsia="標楷體"/>
          <w:sz w:val="22"/>
          <w:szCs w:val="22"/>
        </w:rPr>
      </w:pPr>
    </w:p>
    <w:p w:rsidR="00EF5A0E" w:rsidRPr="00AE0D77" w:rsidRDefault="00576223" w:rsidP="004B772B">
      <w:pPr>
        <w:snapToGrid w:val="0"/>
        <w:spacing w:before="50" w:line="300" w:lineRule="auto"/>
        <w:ind w:rightChars="18" w:right="43"/>
        <w:jc w:val="center"/>
        <w:rPr>
          <w:rFonts w:eastAsia="標楷體"/>
          <w:b/>
          <w:bCs/>
          <w:sz w:val="40"/>
          <w:szCs w:val="36"/>
        </w:rPr>
      </w:pPr>
      <w:r w:rsidRPr="00AE0D77">
        <w:rPr>
          <w:rFonts w:eastAsia="標楷體"/>
          <w:b/>
          <w:bCs/>
          <w:sz w:val="28"/>
        </w:rPr>
        <w:br w:type="page"/>
      </w:r>
    </w:p>
    <w:p w:rsidR="008A5536" w:rsidRPr="00AE0D77"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86347638"/>
      <w:bookmarkStart w:id="141" w:name="_Toc337122138"/>
      <w:bookmarkStart w:id="142" w:name="_Toc349916590"/>
      <w:bookmarkStart w:id="143" w:name="_Toc401923803"/>
      <w:r w:rsidRPr="00AE0D77">
        <w:rPr>
          <w:rFonts w:eastAsia="標楷體"/>
          <w:b/>
          <w:bCs/>
          <w:sz w:val="40"/>
          <w:szCs w:val="36"/>
        </w:rPr>
        <w:t>三、中國大陸經濟</w:t>
      </w:r>
      <w:bookmarkEnd w:id="138"/>
      <w:bookmarkEnd w:id="139"/>
      <w:bookmarkEnd w:id="140"/>
    </w:p>
    <w:p w:rsidR="00461F05" w:rsidRPr="00AE0D77" w:rsidRDefault="00461F05" w:rsidP="00461F05">
      <w:pPr>
        <w:pStyle w:val="t-3"/>
        <w:snapToGrid w:val="0"/>
        <w:spacing w:beforeLines="50" w:before="180" w:line="300" w:lineRule="auto"/>
        <w:ind w:right="-60"/>
      </w:pPr>
      <w:bookmarkStart w:id="144" w:name="_Toc368324033"/>
      <w:bookmarkStart w:id="145" w:name="_Toc402171721"/>
      <w:bookmarkStart w:id="146" w:name="_Toc415126223"/>
      <w:bookmarkStart w:id="147" w:name="_Toc486347639"/>
      <w:bookmarkStart w:id="148" w:name="_Toc349916591"/>
      <w:r w:rsidRPr="00AE0D77">
        <w:t>（一）固定資產投資</w:t>
      </w:r>
      <w:bookmarkEnd w:id="144"/>
      <w:bookmarkEnd w:id="145"/>
      <w:bookmarkEnd w:id="146"/>
      <w:bookmarkEnd w:id="147"/>
    </w:p>
    <w:p w:rsidR="0023045D" w:rsidRPr="00AE0D77" w:rsidRDefault="0023045D" w:rsidP="0023045D">
      <w:pPr>
        <w:pStyle w:val="a9"/>
        <w:widowControl/>
        <w:snapToGrid w:val="0"/>
        <w:spacing w:line="300" w:lineRule="auto"/>
        <w:ind w:leftChars="140" w:left="616" w:right="-142" w:hangingChars="100" w:hanging="280"/>
        <w:jc w:val="both"/>
        <w:rPr>
          <w:rFonts w:ascii="Times New Roman" w:eastAsia="標楷體"/>
          <w:sz w:val="28"/>
        </w:rPr>
      </w:pPr>
      <w:bookmarkStart w:id="149" w:name="_Toc368324034"/>
      <w:bookmarkStart w:id="150" w:name="_Toc402171722"/>
      <w:r w:rsidRPr="00AE0D77">
        <w:rPr>
          <w:rFonts w:ascii="Times New Roman" w:eastAsia="標楷體"/>
          <w:sz w:val="28"/>
        </w:rPr>
        <w:t>－</w:t>
      </w:r>
      <w:r w:rsidR="00FC4D38" w:rsidRPr="00AE0D77">
        <w:rPr>
          <w:rFonts w:ascii="Times New Roman" w:eastAsia="標楷體"/>
          <w:sz w:val="28"/>
        </w:rPr>
        <w:t>2017</w:t>
      </w:r>
      <w:r w:rsidR="00FC4D38" w:rsidRPr="00AE0D77">
        <w:rPr>
          <w:rFonts w:ascii="Times New Roman" w:eastAsia="標楷體"/>
          <w:sz w:val="28"/>
        </w:rPr>
        <w:t>年</w:t>
      </w:r>
      <w:r w:rsidR="00FC4D38" w:rsidRPr="00AE0D77">
        <w:rPr>
          <w:rFonts w:ascii="Times New Roman" w:eastAsia="標楷體"/>
          <w:sz w:val="28"/>
        </w:rPr>
        <w:t>1</w:t>
      </w:r>
      <w:r w:rsidR="00FC4D38" w:rsidRPr="00AE0D77">
        <w:rPr>
          <w:rFonts w:ascii="Times New Roman" w:eastAsia="標楷體"/>
          <w:sz w:val="28"/>
        </w:rPr>
        <w:t>至</w:t>
      </w:r>
      <w:r w:rsidR="00FC4D38" w:rsidRPr="00AE0D77">
        <w:rPr>
          <w:rFonts w:ascii="Times New Roman" w:eastAsia="標楷體"/>
          <w:sz w:val="28"/>
        </w:rPr>
        <w:t>5</w:t>
      </w:r>
      <w:r w:rsidR="00FC4D38" w:rsidRPr="00AE0D77">
        <w:rPr>
          <w:rFonts w:ascii="Times New Roman" w:eastAsia="標楷體"/>
          <w:sz w:val="28"/>
        </w:rPr>
        <w:t>月固定資產投資（不含農戶）金額為</w:t>
      </w:r>
      <w:r w:rsidR="00FC4D38" w:rsidRPr="00AE0D77">
        <w:rPr>
          <w:rFonts w:ascii="Times New Roman" w:eastAsia="標楷體"/>
          <w:sz w:val="28"/>
        </w:rPr>
        <w:t>20</w:t>
      </w:r>
      <w:r w:rsidR="00FC4D38" w:rsidRPr="00AE0D77">
        <w:rPr>
          <w:rFonts w:ascii="Times New Roman" w:eastAsia="標楷體"/>
          <w:sz w:val="28"/>
        </w:rPr>
        <w:t>兆</w:t>
      </w:r>
      <w:r w:rsidR="00FC4D38" w:rsidRPr="00AE0D77">
        <w:rPr>
          <w:rFonts w:ascii="Times New Roman" w:eastAsia="標楷體"/>
          <w:sz w:val="28"/>
        </w:rPr>
        <w:t>3,718</w:t>
      </w:r>
      <w:r w:rsidR="00FC4D38" w:rsidRPr="00AE0D77">
        <w:rPr>
          <w:rFonts w:ascii="Times New Roman" w:eastAsia="標楷體"/>
          <w:sz w:val="28"/>
        </w:rPr>
        <w:t>億人民幣，較上年增加</w:t>
      </w:r>
      <w:r w:rsidR="00FC4D38" w:rsidRPr="00AE0D77">
        <w:rPr>
          <w:rFonts w:ascii="Times New Roman" w:eastAsia="標楷體"/>
          <w:sz w:val="28"/>
        </w:rPr>
        <w:t>8.6%</w:t>
      </w:r>
      <w:r w:rsidR="00FC4D38" w:rsidRPr="00AE0D77">
        <w:rPr>
          <w:rFonts w:ascii="Times New Roman" w:eastAsia="標楷體"/>
          <w:sz w:val="28"/>
        </w:rPr>
        <w:t>。其中，中央投資金額減少</w:t>
      </w:r>
      <w:r w:rsidR="00FC4D38" w:rsidRPr="00AE0D77">
        <w:rPr>
          <w:rFonts w:ascii="Times New Roman" w:eastAsia="標楷體"/>
          <w:sz w:val="28"/>
        </w:rPr>
        <w:t>10.2%</w:t>
      </w:r>
      <w:r w:rsidR="00FC4D38" w:rsidRPr="00AE0D77">
        <w:rPr>
          <w:rFonts w:ascii="Times New Roman" w:eastAsia="標楷體"/>
          <w:sz w:val="28"/>
        </w:rPr>
        <w:t>，比重為</w:t>
      </w:r>
      <w:r w:rsidR="00FC4D38" w:rsidRPr="00AE0D77">
        <w:rPr>
          <w:rFonts w:ascii="Times New Roman" w:eastAsia="標楷體"/>
          <w:sz w:val="28"/>
        </w:rPr>
        <w:t>3.4%</w:t>
      </w:r>
      <w:r w:rsidR="00FC4D38" w:rsidRPr="00AE0D77">
        <w:rPr>
          <w:rFonts w:ascii="Times New Roman" w:eastAsia="標楷體"/>
          <w:sz w:val="28"/>
        </w:rPr>
        <w:t>；地方投資金額增加</w:t>
      </w:r>
      <w:r w:rsidR="00FC4D38" w:rsidRPr="00AE0D77">
        <w:rPr>
          <w:rFonts w:ascii="Times New Roman" w:eastAsia="標楷體"/>
          <w:sz w:val="28"/>
        </w:rPr>
        <w:t>9.4%</w:t>
      </w:r>
      <w:r w:rsidR="00FC4D38" w:rsidRPr="00AE0D77">
        <w:rPr>
          <w:rFonts w:ascii="Times New Roman" w:eastAsia="標楷體"/>
          <w:sz w:val="28"/>
        </w:rPr>
        <w:t>，比重為</w:t>
      </w:r>
      <w:r w:rsidR="00FC4D38" w:rsidRPr="00AE0D77">
        <w:rPr>
          <w:rFonts w:ascii="Times New Roman" w:eastAsia="標楷體"/>
          <w:sz w:val="28"/>
        </w:rPr>
        <w:t>96.5%</w:t>
      </w:r>
      <w:r w:rsidR="00FC4D38" w:rsidRPr="00AE0D77">
        <w:rPr>
          <w:rFonts w:ascii="Times New Roman" w:eastAsia="標楷體"/>
          <w:sz w:val="28"/>
        </w:rPr>
        <w:t>。</w:t>
      </w:r>
    </w:p>
    <w:p w:rsidR="0023045D" w:rsidRPr="00AE0D77" w:rsidRDefault="0023045D" w:rsidP="0023045D">
      <w:pPr>
        <w:pStyle w:val="a9"/>
        <w:widowControl/>
        <w:snapToGrid w:val="0"/>
        <w:spacing w:line="288" w:lineRule="auto"/>
        <w:ind w:leftChars="140" w:left="616" w:right="-142" w:hangingChars="100" w:hanging="280"/>
        <w:jc w:val="both"/>
        <w:rPr>
          <w:rFonts w:ascii="Times New Roman" w:eastAsia="標楷體"/>
          <w:sz w:val="28"/>
        </w:rPr>
      </w:pPr>
    </w:p>
    <w:p w:rsidR="0023045D" w:rsidRPr="00AE0D77" w:rsidRDefault="00FC4D38" w:rsidP="0023045D">
      <w:pPr>
        <w:autoSpaceDE w:val="0"/>
        <w:autoSpaceDN w:val="0"/>
        <w:adjustRightInd w:val="0"/>
        <w:snapToGrid w:val="0"/>
        <w:spacing w:line="0" w:lineRule="atLeast"/>
        <w:jc w:val="center"/>
        <w:rPr>
          <w:rFonts w:eastAsia="標楷體"/>
        </w:rPr>
      </w:pPr>
      <w:r w:rsidRPr="00AE0D77">
        <w:rPr>
          <w:rFonts w:eastAsia="標楷體"/>
          <w:noProof/>
        </w:rPr>
        <w:drawing>
          <wp:anchor distT="0" distB="0" distL="114300" distR="114300" simplePos="0" relativeHeight="252459520" behindDoc="1" locked="0" layoutInCell="1" allowOverlap="1" wp14:anchorId="23A5AE83" wp14:editId="2624AAD6">
            <wp:simplePos x="0" y="0"/>
            <wp:positionH relativeFrom="column">
              <wp:posOffset>-489585</wp:posOffset>
            </wp:positionH>
            <wp:positionV relativeFrom="paragraph">
              <wp:posOffset>618490</wp:posOffset>
            </wp:positionV>
            <wp:extent cx="6804025" cy="2493645"/>
            <wp:effectExtent l="0" t="0" r="15875" b="20955"/>
            <wp:wrapTight wrapText="right">
              <wp:wrapPolygon edited="0">
                <wp:start x="0" y="0"/>
                <wp:lineTo x="0" y="21617"/>
                <wp:lineTo x="21590" y="21617"/>
                <wp:lineTo x="21590"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3045D" w:rsidRPr="00AE0D77">
        <w:rPr>
          <w:rFonts w:eastAsia="標楷體"/>
          <w:b/>
          <w:bCs/>
          <w:sz w:val="28"/>
        </w:rPr>
        <w:t>圖</w:t>
      </w:r>
      <w:r w:rsidR="0023045D" w:rsidRPr="00AE0D77">
        <w:rPr>
          <w:rFonts w:eastAsia="標楷體"/>
          <w:b/>
          <w:bCs/>
          <w:sz w:val="28"/>
        </w:rPr>
        <w:t xml:space="preserve">3-1 </w:t>
      </w:r>
      <w:r w:rsidR="0023045D" w:rsidRPr="00AE0D77">
        <w:rPr>
          <w:rFonts w:eastAsia="標楷體"/>
          <w:b/>
          <w:bCs/>
          <w:sz w:val="28"/>
        </w:rPr>
        <w:t>中國大陸固定資產投資</w:t>
      </w:r>
    </w:p>
    <w:p w:rsidR="0023045D" w:rsidRPr="00AE0D77" w:rsidRDefault="0023045D" w:rsidP="0023045D">
      <w:pPr>
        <w:autoSpaceDE w:val="0"/>
        <w:autoSpaceDN w:val="0"/>
        <w:adjustRightInd w:val="0"/>
        <w:snapToGrid w:val="0"/>
        <w:spacing w:beforeLines="50" w:before="180" w:line="300" w:lineRule="auto"/>
        <w:jc w:val="center"/>
        <w:rPr>
          <w:rFonts w:eastAsia="標楷體"/>
          <w:b/>
          <w:bCs/>
          <w:sz w:val="28"/>
        </w:rPr>
      </w:pPr>
    </w:p>
    <w:p w:rsidR="0023045D" w:rsidRPr="00AE0D77" w:rsidRDefault="0023045D" w:rsidP="0023045D">
      <w:pPr>
        <w:autoSpaceDE w:val="0"/>
        <w:autoSpaceDN w:val="0"/>
        <w:adjustRightInd w:val="0"/>
        <w:snapToGrid w:val="0"/>
        <w:spacing w:beforeLines="50" w:before="180" w:line="300" w:lineRule="auto"/>
        <w:jc w:val="center"/>
        <w:rPr>
          <w:rFonts w:eastAsia="標楷體"/>
        </w:rPr>
      </w:pPr>
      <w:r w:rsidRPr="00AE0D77">
        <w:rPr>
          <w:rFonts w:eastAsia="標楷體"/>
          <w:b/>
          <w:bCs/>
          <w:sz w:val="28"/>
        </w:rPr>
        <w:t>表</w:t>
      </w:r>
      <w:r w:rsidRPr="00AE0D77">
        <w:rPr>
          <w:rFonts w:eastAsia="標楷體"/>
          <w:b/>
          <w:bCs/>
          <w:sz w:val="28"/>
        </w:rPr>
        <w:t xml:space="preserve">3-1  </w:t>
      </w:r>
      <w:r w:rsidRPr="00AE0D77">
        <w:rPr>
          <w:rFonts w:eastAsia="標楷體"/>
          <w:b/>
          <w:bCs/>
          <w:sz w:val="28"/>
        </w:rPr>
        <w:t>中國大陸固定資產投資概況</w:t>
      </w:r>
    </w:p>
    <w:p w:rsidR="0023045D" w:rsidRPr="00AE0D77" w:rsidRDefault="0023045D" w:rsidP="0023045D">
      <w:pPr>
        <w:autoSpaceDE w:val="0"/>
        <w:autoSpaceDN w:val="0"/>
        <w:adjustRightInd w:val="0"/>
        <w:snapToGrid w:val="0"/>
        <w:ind w:right="250"/>
        <w:jc w:val="right"/>
        <w:rPr>
          <w:rFonts w:eastAsia="標楷體"/>
          <w:b/>
          <w:bCs/>
          <w:sz w:val="28"/>
        </w:rPr>
      </w:pPr>
      <w:r w:rsidRPr="00AE0D77">
        <w:rPr>
          <w:rFonts w:eastAsia="標楷體"/>
        </w:rPr>
        <w:t>單位：億人民幣；</w:t>
      </w:r>
      <w:r w:rsidRPr="00AE0D77">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FC4D38" w:rsidRPr="00AE0D77" w:rsidTr="00FC4D38">
        <w:trPr>
          <w:cantSplit/>
          <w:jc w:val="center"/>
        </w:trPr>
        <w:tc>
          <w:tcPr>
            <w:tcW w:w="1612" w:type="dxa"/>
            <w:vMerge w:val="restart"/>
            <w:tcBorders>
              <w:left w:val="nil"/>
              <w:right w:val="single" w:sz="4" w:space="0" w:color="auto"/>
            </w:tcBorders>
            <w:vAlign w:val="center"/>
          </w:tcPr>
          <w:p w:rsidR="00FC4D38" w:rsidRPr="00AE0D77" w:rsidRDefault="00FC4D38" w:rsidP="00FC4D38">
            <w:pPr>
              <w:widowControl/>
              <w:autoSpaceDE w:val="0"/>
              <w:autoSpaceDN w:val="0"/>
              <w:adjustRightInd w:val="0"/>
              <w:snapToGrid w:val="0"/>
              <w:spacing w:line="440" w:lineRule="exact"/>
              <w:ind w:right="-142"/>
              <w:jc w:val="center"/>
              <w:rPr>
                <w:rFonts w:eastAsia="標楷體"/>
                <w:kern w:val="0"/>
                <w:sz w:val="22"/>
                <w:szCs w:val="20"/>
              </w:rPr>
            </w:pPr>
            <w:r w:rsidRPr="00AE0D77">
              <w:rPr>
                <w:rFonts w:eastAsia="標楷體"/>
                <w:kern w:val="0"/>
                <w:sz w:val="22"/>
                <w:szCs w:val="20"/>
              </w:rPr>
              <w:t>年</w:t>
            </w:r>
            <w:r w:rsidRPr="00AE0D77">
              <w:rPr>
                <w:rFonts w:eastAsia="標楷體"/>
                <w:kern w:val="0"/>
                <w:sz w:val="22"/>
                <w:szCs w:val="20"/>
              </w:rPr>
              <w:t>(</w:t>
            </w:r>
            <w:r w:rsidRPr="00AE0D77">
              <w:rPr>
                <w:rFonts w:eastAsia="標楷體"/>
                <w:kern w:val="0"/>
                <w:sz w:val="22"/>
                <w:szCs w:val="20"/>
              </w:rPr>
              <w:t>月</w:t>
            </w:r>
            <w:r w:rsidRPr="00AE0D77">
              <w:rPr>
                <w:rFonts w:eastAsia="標楷體"/>
                <w:kern w:val="0"/>
                <w:sz w:val="22"/>
                <w:szCs w:val="20"/>
              </w:rPr>
              <w:t>)</w:t>
            </w:r>
          </w:p>
        </w:tc>
        <w:tc>
          <w:tcPr>
            <w:tcW w:w="6346" w:type="dxa"/>
            <w:gridSpan w:val="6"/>
            <w:tcBorders>
              <w:left w:val="single" w:sz="4" w:space="0" w:color="auto"/>
              <w:right w:val="nil"/>
            </w:tcBorders>
            <w:vAlign w:val="center"/>
          </w:tcPr>
          <w:p w:rsidR="00FC4D38" w:rsidRPr="00AE0D77" w:rsidRDefault="00FC4D38" w:rsidP="00FC4D38">
            <w:pPr>
              <w:snapToGrid w:val="0"/>
              <w:ind w:right="-142"/>
              <w:jc w:val="center"/>
              <w:rPr>
                <w:rFonts w:eastAsia="標楷體"/>
                <w:sz w:val="22"/>
                <w:szCs w:val="20"/>
              </w:rPr>
            </w:pPr>
            <w:r w:rsidRPr="00AE0D77">
              <w:rPr>
                <w:rFonts w:eastAsia="標楷體"/>
                <w:sz w:val="22"/>
                <w:szCs w:val="20"/>
              </w:rPr>
              <w:t>固定資產投資</w:t>
            </w:r>
          </w:p>
        </w:tc>
      </w:tr>
      <w:tr w:rsidR="00FC4D38" w:rsidRPr="00AE0D77" w:rsidTr="00FC4D38">
        <w:trPr>
          <w:cantSplit/>
          <w:trHeight w:val="240"/>
          <w:jc w:val="center"/>
        </w:trPr>
        <w:tc>
          <w:tcPr>
            <w:tcW w:w="1612" w:type="dxa"/>
            <w:vMerge/>
            <w:tcBorders>
              <w:left w:val="nil"/>
              <w:right w:val="single" w:sz="4" w:space="0" w:color="auto"/>
            </w:tcBorders>
            <w:vAlign w:val="center"/>
          </w:tcPr>
          <w:p w:rsidR="00FC4D38" w:rsidRPr="00AE0D77" w:rsidRDefault="00FC4D38" w:rsidP="00FC4D3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FC4D38" w:rsidRPr="00AE0D77" w:rsidRDefault="00FC4D38" w:rsidP="00FC4D38">
            <w:pPr>
              <w:snapToGrid w:val="0"/>
              <w:ind w:right="-142"/>
              <w:jc w:val="center"/>
              <w:rPr>
                <w:rFonts w:eastAsia="標楷體"/>
                <w:sz w:val="22"/>
                <w:szCs w:val="20"/>
              </w:rPr>
            </w:pPr>
            <w:r w:rsidRPr="00AE0D77">
              <w:rPr>
                <w:rFonts w:eastAsia="標楷體"/>
                <w:sz w:val="22"/>
                <w:szCs w:val="20"/>
              </w:rPr>
              <w:t>金額</w:t>
            </w:r>
          </w:p>
        </w:tc>
        <w:tc>
          <w:tcPr>
            <w:tcW w:w="1103" w:type="dxa"/>
            <w:vMerge w:val="restart"/>
            <w:tcBorders>
              <w:left w:val="single" w:sz="4" w:space="0" w:color="auto"/>
              <w:right w:val="double" w:sz="4" w:space="0" w:color="auto"/>
            </w:tcBorders>
            <w:vAlign w:val="center"/>
          </w:tcPr>
          <w:p w:rsidR="00FC4D38" w:rsidRPr="00AE0D77" w:rsidRDefault="00FC4D38" w:rsidP="00FC4D38">
            <w:pPr>
              <w:snapToGrid w:val="0"/>
              <w:jc w:val="center"/>
              <w:rPr>
                <w:rFonts w:eastAsia="標楷體"/>
                <w:sz w:val="22"/>
                <w:szCs w:val="20"/>
              </w:rPr>
            </w:pPr>
            <w:r w:rsidRPr="00AE0D77">
              <w:rPr>
                <w:rFonts w:eastAsia="標楷體"/>
                <w:sz w:val="22"/>
                <w:szCs w:val="20"/>
              </w:rPr>
              <w:t>年增率</w:t>
            </w:r>
          </w:p>
        </w:tc>
        <w:tc>
          <w:tcPr>
            <w:tcW w:w="1975" w:type="dxa"/>
            <w:gridSpan w:val="2"/>
            <w:tcBorders>
              <w:bottom w:val="single" w:sz="4" w:space="0" w:color="auto"/>
              <w:right w:val="single" w:sz="4" w:space="0" w:color="auto"/>
            </w:tcBorders>
            <w:vAlign w:val="center"/>
          </w:tcPr>
          <w:p w:rsidR="00FC4D38" w:rsidRPr="00AE0D77" w:rsidRDefault="00FC4D38" w:rsidP="00FC4D38">
            <w:pPr>
              <w:snapToGrid w:val="0"/>
              <w:ind w:right="-142"/>
              <w:jc w:val="center"/>
              <w:rPr>
                <w:rFonts w:eastAsia="標楷體"/>
                <w:sz w:val="22"/>
                <w:szCs w:val="20"/>
              </w:rPr>
            </w:pPr>
            <w:r w:rsidRPr="00AE0D77">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FC4D38" w:rsidRPr="00AE0D77" w:rsidRDefault="00FC4D38" w:rsidP="00FC4D38">
            <w:pPr>
              <w:snapToGrid w:val="0"/>
              <w:ind w:right="-142"/>
              <w:jc w:val="center"/>
              <w:rPr>
                <w:rFonts w:eastAsia="標楷體"/>
                <w:sz w:val="22"/>
                <w:szCs w:val="20"/>
              </w:rPr>
            </w:pPr>
            <w:r w:rsidRPr="00AE0D77">
              <w:rPr>
                <w:rFonts w:eastAsia="標楷體"/>
                <w:sz w:val="22"/>
                <w:szCs w:val="20"/>
              </w:rPr>
              <w:t>地方</w:t>
            </w:r>
          </w:p>
        </w:tc>
      </w:tr>
      <w:tr w:rsidR="00FC4D38" w:rsidRPr="00AE0D77" w:rsidTr="00FC4D38">
        <w:trPr>
          <w:cantSplit/>
          <w:trHeight w:val="240"/>
          <w:jc w:val="center"/>
        </w:trPr>
        <w:tc>
          <w:tcPr>
            <w:tcW w:w="1612" w:type="dxa"/>
            <w:vMerge/>
            <w:tcBorders>
              <w:left w:val="nil"/>
              <w:bottom w:val="single" w:sz="4" w:space="0" w:color="auto"/>
              <w:right w:val="single" w:sz="4" w:space="0" w:color="auto"/>
            </w:tcBorders>
            <w:vAlign w:val="center"/>
          </w:tcPr>
          <w:p w:rsidR="00FC4D38" w:rsidRPr="00AE0D77" w:rsidRDefault="00FC4D38" w:rsidP="00FC4D3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FC4D38" w:rsidRPr="00AE0D77" w:rsidRDefault="00FC4D38" w:rsidP="00FC4D38">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FC4D38" w:rsidRPr="00AE0D77" w:rsidRDefault="00FC4D38" w:rsidP="00FC4D38">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FC4D38" w:rsidRPr="00AE0D77" w:rsidRDefault="00FC4D38" w:rsidP="00FC4D38">
            <w:pPr>
              <w:snapToGrid w:val="0"/>
              <w:jc w:val="center"/>
              <w:rPr>
                <w:rFonts w:eastAsia="標楷體"/>
                <w:sz w:val="22"/>
                <w:szCs w:val="20"/>
              </w:rPr>
            </w:pPr>
            <w:r w:rsidRPr="00AE0D77">
              <w:rPr>
                <w:rFonts w:eastAsia="標楷體"/>
                <w:sz w:val="22"/>
                <w:szCs w:val="20"/>
              </w:rPr>
              <w:t>金額</w:t>
            </w:r>
          </w:p>
        </w:tc>
        <w:tc>
          <w:tcPr>
            <w:tcW w:w="922" w:type="dxa"/>
            <w:tcBorders>
              <w:bottom w:val="single" w:sz="4" w:space="0" w:color="auto"/>
              <w:right w:val="single" w:sz="4" w:space="0" w:color="auto"/>
            </w:tcBorders>
            <w:vAlign w:val="center"/>
          </w:tcPr>
          <w:p w:rsidR="00FC4D38" w:rsidRPr="00AE0D77" w:rsidRDefault="00FC4D38" w:rsidP="00FC4D38">
            <w:pPr>
              <w:snapToGrid w:val="0"/>
              <w:jc w:val="center"/>
              <w:rPr>
                <w:rFonts w:eastAsia="標楷體"/>
                <w:sz w:val="22"/>
                <w:szCs w:val="20"/>
              </w:rPr>
            </w:pPr>
            <w:r w:rsidRPr="00AE0D77">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FC4D38" w:rsidRPr="00AE0D77" w:rsidRDefault="00FC4D38" w:rsidP="00FC4D38">
            <w:pPr>
              <w:snapToGrid w:val="0"/>
              <w:jc w:val="center"/>
              <w:rPr>
                <w:rFonts w:eastAsia="標楷體"/>
                <w:sz w:val="22"/>
                <w:szCs w:val="20"/>
              </w:rPr>
            </w:pPr>
            <w:r w:rsidRPr="00AE0D77">
              <w:rPr>
                <w:rFonts w:eastAsia="標楷體"/>
                <w:sz w:val="22"/>
                <w:szCs w:val="20"/>
              </w:rPr>
              <w:t>金額</w:t>
            </w:r>
          </w:p>
        </w:tc>
        <w:tc>
          <w:tcPr>
            <w:tcW w:w="840" w:type="dxa"/>
            <w:tcBorders>
              <w:left w:val="single" w:sz="4" w:space="0" w:color="auto"/>
              <w:bottom w:val="single" w:sz="4" w:space="0" w:color="auto"/>
              <w:right w:val="nil"/>
            </w:tcBorders>
            <w:vAlign w:val="center"/>
          </w:tcPr>
          <w:p w:rsidR="00FC4D38" w:rsidRPr="00AE0D77" w:rsidRDefault="00FC4D38" w:rsidP="00FC4D38">
            <w:pPr>
              <w:snapToGrid w:val="0"/>
              <w:jc w:val="center"/>
              <w:rPr>
                <w:rFonts w:eastAsia="標楷體"/>
                <w:b/>
                <w:w w:val="90"/>
                <w:kern w:val="0"/>
                <w:sz w:val="22"/>
                <w:szCs w:val="20"/>
              </w:rPr>
            </w:pPr>
            <w:r w:rsidRPr="00AE0D77">
              <w:rPr>
                <w:rFonts w:eastAsia="標楷體"/>
                <w:sz w:val="22"/>
                <w:szCs w:val="20"/>
              </w:rPr>
              <w:t>年增率</w:t>
            </w:r>
          </w:p>
        </w:tc>
      </w:tr>
      <w:tr w:rsidR="00FC4D38" w:rsidRPr="00AE0D77" w:rsidTr="00FC4D38">
        <w:trPr>
          <w:cantSplit/>
          <w:trHeight w:val="360"/>
          <w:jc w:val="center"/>
        </w:trPr>
        <w:tc>
          <w:tcPr>
            <w:tcW w:w="1612" w:type="dxa"/>
            <w:tcBorders>
              <w:top w:val="nil"/>
              <w:left w:val="nil"/>
              <w:bottom w:val="nil"/>
              <w:right w:val="single" w:sz="4" w:space="0" w:color="auto"/>
            </w:tcBorders>
            <w:vAlign w:val="center"/>
          </w:tcPr>
          <w:p w:rsidR="00FC4D38" w:rsidRPr="00AE0D77" w:rsidRDefault="00FC4D38" w:rsidP="00FC4D38">
            <w:pPr>
              <w:snapToGrid w:val="0"/>
              <w:ind w:right="-142"/>
              <w:jc w:val="center"/>
              <w:rPr>
                <w:rFonts w:eastAsia="標楷體"/>
                <w:kern w:val="0"/>
                <w:sz w:val="22"/>
                <w:szCs w:val="20"/>
              </w:rPr>
            </w:pPr>
            <w:r w:rsidRPr="00AE0D77">
              <w:rPr>
                <w:rFonts w:eastAsia="標楷體"/>
                <w:kern w:val="0"/>
                <w:sz w:val="22"/>
                <w:szCs w:val="20"/>
              </w:rPr>
              <w:t>2008</w:t>
            </w:r>
            <w:r w:rsidRPr="00AE0D7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172,291</w:t>
            </w:r>
          </w:p>
        </w:tc>
        <w:tc>
          <w:tcPr>
            <w:tcW w:w="1103" w:type="dxa"/>
            <w:tcBorders>
              <w:top w:val="nil"/>
              <w:left w:val="single" w:sz="4" w:space="0" w:color="auto"/>
              <w:bottom w:val="nil"/>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25.5</w:t>
            </w:r>
          </w:p>
        </w:tc>
        <w:tc>
          <w:tcPr>
            <w:tcW w:w="1053" w:type="dxa"/>
            <w:tcBorders>
              <w:top w:val="nil"/>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16,641</w:t>
            </w:r>
          </w:p>
        </w:tc>
        <w:tc>
          <w:tcPr>
            <w:tcW w:w="922" w:type="dxa"/>
            <w:tcBorders>
              <w:top w:val="nil"/>
              <w:bottom w:val="nil"/>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29.6</w:t>
            </w:r>
          </w:p>
        </w:tc>
        <w:tc>
          <w:tcPr>
            <w:tcW w:w="1037" w:type="dxa"/>
            <w:tcBorders>
              <w:top w:val="nil"/>
              <w:left w:val="single" w:sz="4" w:space="0" w:color="auto"/>
              <w:bottom w:val="nil"/>
              <w:right w:val="single" w:sz="4" w:space="0" w:color="auto"/>
            </w:tcBorders>
            <w:vAlign w:val="center"/>
          </w:tcPr>
          <w:p w:rsidR="00FC4D38" w:rsidRPr="00AE0D77" w:rsidRDefault="00FC4D38" w:rsidP="00FC4D38">
            <w:pPr>
              <w:ind w:rightChars="25" w:right="60"/>
              <w:jc w:val="right"/>
              <w:rPr>
                <w:rFonts w:eastAsia="標楷體"/>
              </w:rPr>
            </w:pPr>
            <w:r w:rsidRPr="00AE0D77">
              <w:rPr>
                <w:rFonts w:eastAsia="標楷體"/>
              </w:rPr>
              <w:t>131,526</w:t>
            </w:r>
          </w:p>
        </w:tc>
        <w:tc>
          <w:tcPr>
            <w:tcW w:w="840" w:type="dxa"/>
            <w:tcBorders>
              <w:top w:val="nil"/>
              <w:left w:val="single" w:sz="4" w:space="0" w:color="auto"/>
              <w:bottom w:val="nil"/>
              <w:right w:val="nil"/>
            </w:tcBorders>
            <w:vAlign w:val="center"/>
          </w:tcPr>
          <w:p w:rsidR="00FC4D38" w:rsidRPr="00AE0D77" w:rsidRDefault="00FC4D38" w:rsidP="00FC4D38">
            <w:pPr>
              <w:ind w:right="-142"/>
              <w:jc w:val="center"/>
              <w:rPr>
                <w:rFonts w:eastAsia="標楷體"/>
              </w:rPr>
            </w:pPr>
            <w:r w:rsidRPr="00AE0D77">
              <w:rPr>
                <w:rFonts w:eastAsia="標楷體"/>
              </w:rPr>
              <w:t>25.7</w:t>
            </w:r>
          </w:p>
        </w:tc>
      </w:tr>
      <w:tr w:rsidR="00FC4D38" w:rsidRPr="00AE0D77" w:rsidTr="00FC4D38">
        <w:trPr>
          <w:cantSplit/>
          <w:trHeight w:val="360"/>
          <w:jc w:val="center"/>
        </w:trPr>
        <w:tc>
          <w:tcPr>
            <w:tcW w:w="1612" w:type="dxa"/>
            <w:tcBorders>
              <w:top w:val="nil"/>
              <w:left w:val="nil"/>
              <w:bottom w:val="nil"/>
              <w:right w:val="single" w:sz="4" w:space="0" w:color="auto"/>
            </w:tcBorders>
            <w:vAlign w:val="center"/>
          </w:tcPr>
          <w:p w:rsidR="00FC4D38" w:rsidRPr="00AE0D77" w:rsidRDefault="00FC4D38" w:rsidP="00FC4D38">
            <w:pPr>
              <w:snapToGrid w:val="0"/>
              <w:ind w:right="-142"/>
              <w:jc w:val="center"/>
              <w:rPr>
                <w:rFonts w:eastAsia="標楷體"/>
                <w:kern w:val="0"/>
                <w:sz w:val="22"/>
                <w:szCs w:val="20"/>
              </w:rPr>
            </w:pPr>
            <w:r w:rsidRPr="00AE0D77">
              <w:rPr>
                <w:rFonts w:eastAsia="標楷體"/>
                <w:kern w:val="0"/>
                <w:sz w:val="22"/>
                <w:szCs w:val="20"/>
              </w:rPr>
              <w:t>2009</w:t>
            </w:r>
            <w:r w:rsidRPr="00AE0D7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224,846</w:t>
            </w:r>
          </w:p>
        </w:tc>
        <w:tc>
          <w:tcPr>
            <w:tcW w:w="1103" w:type="dxa"/>
            <w:tcBorders>
              <w:top w:val="nil"/>
              <w:left w:val="single" w:sz="4" w:space="0" w:color="auto"/>
              <w:bottom w:val="nil"/>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30.1</w:t>
            </w:r>
          </w:p>
        </w:tc>
        <w:tc>
          <w:tcPr>
            <w:tcW w:w="1053" w:type="dxa"/>
            <w:tcBorders>
              <w:top w:val="nil"/>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19,651</w:t>
            </w:r>
          </w:p>
        </w:tc>
        <w:tc>
          <w:tcPr>
            <w:tcW w:w="922" w:type="dxa"/>
            <w:tcBorders>
              <w:top w:val="nil"/>
              <w:bottom w:val="nil"/>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18.4</w:t>
            </w:r>
          </w:p>
        </w:tc>
        <w:tc>
          <w:tcPr>
            <w:tcW w:w="1037" w:type="dxa"/>
            <w:tcBorders>
              <w:top w:val="nil"/>
              <w:left w:val="single" w:sz="4" w:space="0" w:color="auto"/>
              <w:bottom w:val="nil"/>
              <w:right w:val="single" w:sz="4" w:space="0" w:color="auto"/>
            </w:tcBorders>
            <w:vAlign w:val="center"/>
          </w:tcPr>
          <w:p w:rsidR="00FC4D38" w:rsidRPr="00AE0D77" w:rsidRDefault="00FC4D38" w:rsidP="00FC4D38">
            <w:pPr>
              <w:ind w:rightChars="25" w:right="60"/>
              <w:jc w:val="right"/>
              <w:rPr>
                <w:rFonts w:eastAsia="標楷體"/>
              </w:rPr>
            </w:pPr>
            <w:r w:rsidRPr="00AE0D77">
              <w:rPr>
                <w:rFonts w:eastAsia="標楷體"/>
              </w:rPr>
              <w:t>174,488</w:t>
            </w:r>
          </w:p>
        </w:tc>
        <w:tc>
          <w:tcPr>
            <w:tcW w:w="840" w:type="dxa"/>
            <w:tcBorders>
              <w:top w:val="nil"/>
              <w:left w:val="single" w:sz="4" w:space="0" w:color="auto"/>
              <w:bottom w:val="nil"/>
              <w:right w:val="nil"/>
            </w:tcBorders>
            <w:vAlign w:val="center"/>
          </w:tcPr>
          <w:p w:rsidR="00FC4D38" w:rsidRPr="00AE0D77" w:rsidRDefault="00FC4D38" w:rsidP="00FC4D38">
            <w:pPr>
              <w:ind w:right="-142"/>
              <w:jc w:val="center"/>
              <w:rPr>
                <w:rFonts w:eastAsia="標楷體"/>
              </w:rPr>
            </w:pPr>
            <w:r w:rsidRPr="00AE0D77">
              <w:rPr>
                <w:rFonts w:eastAsia="標楷體"/>
              </w:rPr>
              <w:t>32.0</w:t>
            </w:r>
          </w:p>
        </w:tc>
      </w:tr>
      <w:tr w:rsidR="00FC4D38" w:rsidRPr="00AE0D77" w:rsidTr="00FC4D38">
        <w:trPr>
          <w:cantSplit/>
          <w:trHeight w:val="360"/>
          <w:jc w:val="center"/>
        </w:trPr>
        <w:tc>
          <w:tcPr>
            <w:tcW w:w="1612" w:type="dxa"/>
            <w:tcBorders>
              <w:top w:val="nil"/>
              <w:left w:val="nil"/>
              <w:bottom w:val="nil"/>
              <w:right w:val="single" w:sz="4" w:space="0" w:color="auto"/>
            </w:tcBorders>
            <w:vAlign w:val="center"/>
          </w:tcPr>
          <w:p w:rsidR="00FC4D38" w:rsidRPr="00AE0D77" w:rsidRDefault="00FC4D38" w:rsidP="00FC4D38">
            <w:pPr>
              <w:snapToGrid w:val="0"/>
              <w:ind w:right="-142"/>
              <w:jc w:val="center"/>
              <w:rPr>
                <w:rFonts w:eastAsia="標楷體"/>
                <w:kern w:val="0"/>
                <w:sz w:val="22"/>
                <w:szCs w:val="20"/>
              </w:rPr>
            </w:pPr>
            <w:r w:rsidRPr="00AE0D77">
              <w:rPr>
                <w:rFonts w:eastAsia="標楷體"/>
                <w:kern w:val="0"/>
                <w:sz w:val="22"/>
                <w:szCs w:val="20"/>
              </w:rPr>
              <w:t>2010</w:t>
            </w:r>
            <w:r w:rsidRPr="00AE0D7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278,140</w:t>
            </w:r>
          </w:p>
        </w:tc>
        <w:tc>
          <w:tcPr>
            <w:tcW w:w="1103" w:type="dxa"/>
            <w:tcBorders>
              <w:top w:val="nil"/>
              <w:left w:val="single" w:sz="4" w:space="0" w:color="auto"/>
              <w:bottom w:val="nil"/>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23.8</w:t>
            </w:r>
          </w:p>
        </w:tc>
        <w:tc>
          <w:tcPr>
            <w:tcW w:w="1053" w:type="dxa"/>
            <w:tcBorders>
              <w:top w:val="nil"/>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21,837</w:t>
            </w:r>
          </w:p>
        </w:tc>
        <w:tc>
          <w:tcPr>
            <w:tcW w:w="922" w:type="dxa"/>
            <w:tcBorders>
              <w:top w:val="nil"/>
              <w:bottom w:val="nil"/>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8.9</w:t>
            </w:r>
          </w:p>
        </w:tc>
        <w:tc>
          <w:tcPr>
            <w:tcW w:w="1037" w:type="dxa"/>
            <w:tcBorders>
              <w:top w:val="nil"/>
              <w:left w:val="single" w:sz="4" w:space="0" w:color="auto"/>
              <w:bottom w:val="nil"/>
              <w:right w:val="single" w:sz="4" w:space="0" w:color="auto"/>
            </w:tcBorders>
            <w:vAlign w:val="center"/>
          </w:tcPr>
          <w:p w:rsidR="00FC4D38" w:rsidRPr="00AE0D77" w:rsidRDefault="00FC4D38" w:rsidP="00FC4D38">
            <w:pPr>
              <w:ind w:rightChars="25" w:right="60"/>
              <w:jc w:val="right"/>
              <w:rPr>
                <w:rFonts w:eastAsia="標楷體"/>
              </w:rPr>
            </w:pPr>
            <w:r w:rsidRPr="00AE0D77">
              <w:rPr>
                <w:rFonts w:eastAsia="標楷體"/>
              </w:rPr>
              <w:t>219,578</w:t>
            </w:r>
          </w:p>
        </w:tc>
        <w:tc>
          <w:tcPr>
            <w:tcW w:w="840" w:type="dxa"/>
            <w:tcBorders>
              <w:top w:val="nil"/>
              <w:left w:val="single" w:sz="4" w:space="0" w:color="auto"/>
              <w:bottom w:val="nil"/>
              <w:right w:val="nil"/>
            </w:tcBorders>
            <w:vAlign w:val="center"/>
          </w:tcPr>
          <w:p w:rsidR="00FC4D38" w:rsidRPr="00AE0D77" w:rsidRDefault="00FC4D38" w:rsidP="00FC4D38">
            <w:pPr>
              <w:ind w:right="-142"/>
              <w:jc w:val="center"/>
              <w:rPr>
                <w:rFonts w:eastAsia="標楷體"/>
              </w:rPr>
            </w:pPr>
            <w:r w:rsidRPr="00AE0D77">
              <w:rPr>
                <w:rFonts w:eastAsia="標楷體"/>
              </w:rPr>
              <w:t>26.3</w:t>
            </w:r>
          </w:p>
        </w:tc>
      </w:tr>
      <w:tr w:rsidR="00FC4D38" w:rsidRPr="00AE0D77" w:rsidTr="00FC4D38">
        <w:trPr>
          <w:cantSplit/>
          <w:trHeight w:val="360"/>
          <w:jc w:val="center"/>
        </w:trPr>
        <w:tc>
          <w:tcPr>
            <w:tcW w:w="1612" w:type="dxa"/>
            <w:tcBorders>
              <w:top w:val="nil"/>
              <w:left w:val="nil"/>
              <w:bottom w:val="nil"/>
              <w:right w:val="single" w:sz="4" w:space="0" w:color="auto"/>
            </w:tcBorders>
            <w:vAlign w:val="center"/>
          </w:tcPr>
          <w:p w:rsidR="00FC4D38" w:rsidRPr="00AE0D77" w:rsidRDefault="00FC4D38" w:rsidP="00FC4D38">
            <w:pPr>
              <w:snapToGrid w:val="0"/>
              <w:ind w:right="-142"/>
              <w:jc w:val="center"/>
              <w:rPr>
                <w:rFonts w:eastAsia="標楷體"/>
                <w:kern w:val="0"/>
                <w:sz w:val="22"/>
                <w:szCs w:val="20"/>
              </w:rPr>
            </w:pPr>
            <w:r w:rsidRPr="00AE0D77">
              <w:rPr>
                <w:rFonts w:eastAsia="標楷體"/>
                <w:kern w:val="0"/>
                <w:sz w:val="22"/>
                <w:szCs w:val="20"/>
              </w:rPr>
              <w:t>2011</w:t>
            </w:r>
            <w:r w:rsidRPr="00AE0D7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301,933</w:t>
            </w:r>
          </w:p>
        </w:tc>
        <w:tc>
          <w:tcPr>
            <w:tcW w:w="1103" w:type="dxa"/>
            <w:tcBorders>
              <w:top w:val="nil"/>
              <w:left w:val="single" w:sz="4" w:space="0" w:color="auto"/>
              <w:bottom w:val="nil"/>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23.8</w:t>
            </w:r>
          </w:p>
        </w:tc>
        <w:tc>
          <w:tcPr>
            <w:tcW w:w="1053" w:type="dxa"/>
            <w:tcBorders>
              <w:top w:val="nil"/>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20,209</w:t>
            </w:r>
          </w:p>
        </w:tc>
        <w:tc>
          <w:tcPr>
            <w:tcW w:w="922" w:type="dxa"/>
            <w:tcBorders>
              <w:top w:val="nil"/>
              <w:bottom w:val="nil"/>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-9.7</w:t>
            </w:r>
          </w:p>
        </w:tc>
        <w:tc>
          <w:tcPr>
            <w:tcW w:w="1037" w:type="dxa"/>
            <w:tcBorders>
              <w:top w:val="nil"/>
              <w:left w:val="single" w:sz="4" w:space="0" w:color="auto"/>
              <w:bottom w:val="nil"/>
              <w:right w:val="single" w:sz="4" w:space="0" w:color="auto"/>
            </w:tcBorders>
            <w:vAlign w:val="center"/>
          </w:tcPr>
          <w:p w:rsidR="00FC4D38" w:rsidRPr="00AE0D77" w:rsidRDefault="00FC4D38" w:rsidP="00FC4D38">
            <w:pPr>
              <w:ind w:rightChars="25" w:right="60"/>
              <w:jc w:val="right"/>
              <w:rPr>
                <w:rFonts w:eastAsia="標楷體"/>
              </w:rPr>
            </w:pPr>
            <w:r w:rsidRPr="00AE0D77">
              <w:rPr>
                <w:rFonts w:eastAsia="標楷體"/>
              </w:rPr>
              <w:t>281,724</w:t>
            </w:r>
          </w:p>
        </w:tc>
        <w:tc>
          <w:tcPr>
            <w:tcW w:w="840" w:type="dxa"/>
            <w:tcBorders>
              <w:top w:val="nil"/>
              <w:left w:val="single" w:sz="4" w:space="0" w:color="auto"/>
              <w:bottom w:val="nil"/>
              <w:right w:val="nil"/>
            </w:tcBorders>
            <w:vAlign w:val="center"/>
          </w:tcPr>
          <w:p w:rsidR="00FC4D38" w:rsidRPr="00AE0D77" w:rsidRDefault="00FC4D38" w:rsidP="00FC4D38">
            <w:pPr>
              <w:ind w:right="-142"/>
              <w:jc w:val="center"/>
              <w:rPr>
                <w:rFonts w:eastAsia="標楷體"/>
              </w:rPr>
            </w:pPr>
            <w:r w:rsidRPr="00AE0D77">
              <w:rPr>
                <w:rFonts w:eastAsia="標楷體"/>
              </w:rPr>
              <w:t>27.2</w:t>
            </w:r>
          </w:p>
        </w:tc>
      </w:tr>
      <w:tr w:rsidR="00FC4D38" w:rsidRPr="00AE0D77" w:rsidTr="00FC4D38">
        <w:trPr>
          <w:cantSplit/>
          <w:trHeight w:val="360"/>
          <w:jc w:val="center"/>
        </w:trPr>
        <w:tc>
          <w:tcPr>
            <w:tcW w:w="1612" w:type="dxa"/>
            <w:tcBorders>
              <w:top w:val="nil"/>
              <w:left w:val="nil"/>
              <w:bottom w:val="nil"/>
              <w:right w:val="single" w:sz="4" w:space="0" w:color="auto"/>
            </w:tcBorders>
            <w:vAlign w:val="center"/>
          </w:tcPr>
          <w:p w:rsidR="00FC4D38" w:rsidRPr="00AE0D77" w:rsidRDefault="00FC4D38" w:rsidP="00FC4D38">
            <w:pPr>
              <w:snapToGrid w:val="0"/>
              <w:ind w:right="-142"/>
              <w:jc w:val="center"/>
              <w:rPr>
                <w:rFonts w:eastAsia="標楷體"/>
                <w:kern w:val="0"/>
                <w:sz w:val="22"/>
                <w:szCs w:val="20"/>
              </w:rPr>
            </w:pPr>
            <w:r w:rsidRPr="00AE0D77">
              <w:rPr>
                <w:rFonts w:eastAsia="標楷體"/>
                <w:kern w:val="0"/>
                <w:sz w:val="22"/>
                <w:szCs w:val="20"/>
              </w:rPr>
              <w:t>2012</w:t>
            </w:r>
            <w:r w:rsidRPr="00AE0D7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364,835</w:t>
            </w:r>
          </w:p>
        </w:tc>
        <w:tc>
          <w:tcPr>
            <w:tcW w:w="1103" w:type="dxa"/>
            <w:tcBorders>
              <w:top w:val="nil"/>
              <w:left w:val="single" w:sz="4" w:space="0" w:color="auto"/>
              <w:bottom w:val="nil"/>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20.6</w:t>
            </w:r>
          </w:p>
        </w:tc>
        <w:tc>
          <w:tcPr>
            <w:tcW w:w="1053" w:type="dxa"/>
            <w:tcBorders>
              <w:top w:val="nil"/>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21,663</w:t>
            </w:r>
          </w:p>
        </w:tc>
        <w:tc>
          <w:tcPr>
            <w:tcW w:w="922" w:type="dxa"/>
            <w:tcBorders>
              <w:top w:val="nil"/>
              <w:bottom w:val="nil"/>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5.9</w:t>
            </w:r>
          </w:p>
        </w:tc>
        <w:tc>
          <w:tcPr>
            <w:tcW w:w="1037" w:type="dxa"/>
            <w:tcBorders>
              <w:top w:val="nil"/>
              <w:left w:val="single" w:sz="4" w:space="0" w:color="auto"/>
              <w:bottom w:val="nil"/>
              <w:right w:val="single" w:sz="4" w:space="0" w:color="auto"/>
            </w:tcBorders>
            <w:vAlign w:val="center"/>
          </w:tcPr>
          <w:p w:rsidR="00FC4D38" w:rsidRPr="00AE0D77" w:rsidRDefault="00FC4D38" w:rsidP="00FC4D38">
            <w:pPr>
              <w:ind w:rightChars="25" w:right="60"/>
              <w:jc w:val="right"/>
              <w:rPr>
                <w:rFonts w:eastAsia="標楷體"/>
              </w:rPr>
            </w:pPr>
            <w:r w:rsidRPr="00AE0D77">
              <w:rPr>
                <w:rFonts w:eastAsia="標楷體"/>
              </w:rPr>
              <w:t>343,172</w:t>
            </w:r>
          </w:p>
        </w:tc>
        <w:tc>
          <w:tcPr>
            <w:tcW w:w="840" w:type="dxa"/>
            <w:tcBorders>
              <w:top w:val="nil"/>
              <w:left w:val="single" w:sz="4" w:space="0" w:color="auto"/>
              <w:bottom w:val="nil"/>
              <w:right w:val="nil"/>
            </w:tcBorders>
            <w:vAlign w:val="center"/>
          </w:tcPr>
          <w:p w:rsidR="00FC4D38" w:rsidRPr="00AE0D77" w:rsidRDefault="00FC4D38" w:rsidP="00FC4D38">
            <w:pPr>
              <w:ind w:right="-142"/>
              <w:jc w:val="center"/>
              <w:rPr>
                <w:rFonts w:eastAsia="標楷體"/>
              </w:rPr>
            </w:pPr>
            <w:r w:rsidRPr="00AE0D77">
              <w:rPr>
                <w:rFonts w:eastAsia="標楷體"/>
              </w:rPr>
              <w:t>21.7</w:t>
            </w:r>
          </w:p>
        </w:tc>
      </w:tr>
      <w:tr w:rsidR="00FC4D38" w:rsidRPr="00AE0D77" w:rsidTr="00FC4D38">
        <w:trPr>
          <w:cantSplit/>
          <w:trHeight w:val="360"/>
          <w:jc w:val="center"/>
        </w:trPr>
        <w:tc>
          <w:tcPr>
            <w:tcW w:w="1612" w:type="dxa"/>
            <w:tcBorders>
              <w:top w:val="nil"/>
              <w:left w:val="nil"/>
              <w:bottom w:val="nil"/>
              <w:right w:val="single" w:sz="4" w:space="0" w:color="auto"/>
            </w:tcBorders>
            <w:vAlign w:val="center"/>
          </w:tcPr>
          <w:p w:rsidR="00FC4D38" w:rsidRPr="00AE0D77" w:rsidRDefault="00FC4D38" w:rsidP="00FC4D38">
            <w:pPr>
              <w:snapToGrid w:val="0"/>
              <w:ind w:right="-142"/>
              <w:jc w:val="center"/>
              <w:rPr>
                <w:rFonts w:eastAsia="標楷體"/>
                <w:kern w:val="0"/>
                <w:sz w:val="22"/>
                <w:szCs w:val="20"/>
              </w:rPr>
            </w:pPr>
            <w:r w:rsidRPr="00AE0D77">
              <w:rPr>
                <w:rFonts w:eastAsia="標楷體"/>
                <w:kern w:val="0"/>
                <w:sz w:val="22"/>
                <w:szCs w:val="20"/>
              </w:rPr>
              <w:t>2013</w:t>
            </w:r>
            <w:r w:rsidRPr="00AE0D7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436,528</w:t>
            </w:r>
          </w:p>
        </w:tc>
        <w:tc>
          <w:tcPr>
            <w:tcW w:w="1103" w:type="dxa"/>
            <w:tcBorders>
              <w:top w:val="nil"/>
              <w:left w:val="single" w:sz="4" w:space="0" w:color="auto"/>
              <w:bottom w:val="nil"/>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19.6</w:t>
            </w:r>
          </w:p>
        </w:tc>
        <w:tc>
          <w:tcPr>
            <w:tcW w:w="1053" w:type="dxa"/>
            <w:tcBorders>
              <w:top w:val="nil"/>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24,785</w:t>
            </w:r>
          </w:p>
        </w:tc>
        <w:tc>
          <w:tcPr>
            <w:tcW w:w="922" w:type="dxa"/>
            <w:tcBorders>
              <w:top w:val="nil"/>
              <w:bottom w:val="nil"/>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12.4</w:t>
            </w:r>
          </w:p>
        </w:tc>
        <w:tc>
          <w:tcPr>
            <w:tcW w:w="1037" w:type="dxa"/>
            <w:tcBorders>
              <w:top w:val="nil"/>
              <w:left w:val="single" w:sz="4" w:space="0" w:color="auto"/>
              <w:bottom w:val="nil"/>
              <w:right w:val="single" w:sz="4" w:space="0" w:color="auto"/>
            </w:tcBorders>
            <w:vAlign w:val="center"/>
          </w:tcPr>
          <w:p w:rsidR="00FC4D38" w:rsidRPr="00AE0D77" w:rsidRDefault="00FC4D38" w:rsidP="00FC4D38">
            <w:pPr>
              <w:ind w:rightChars="25" w:right="60"/>
              <w:jc w:val="right"/>
              <w:rPr>
                <w:rFonts w:eastAsia="標楷體"/>
              </w:rPr>
            </w:pPr>
            <w:r w:rsidRPr="00AE0D77">
              <w:rPr>
                <w:rFonts w:eastAsia="標楷體"/>
              </w:rPr>
              <w:t>411,742</w:t>
            </w:r>
          </w:p>
        </w:tc>
        <w:tc>
          <w:tcPr>
            <w:tcW w:w="840" w:type="dxa"/>
            <w:tcBorders>
              <w:top w:val="nil"/>
              <w:left w:val="single" w:sz="4" w:space="0" w:color="auto"/>
              <w:bottom w:val="nil"/>
              <w:right w:val="nil"/>
            </w:tcBorders>
            <w:vAlign w:val="center"/>
          </w:tcPr>
          <w:p w:rsidR="00FC4D38" w:rsidRPr="00AE0D77" w:rsidRDefault="00FC4D38" w:rsidP="00FC4D38">
            <w:pPr>
              <w:ind w:right="-142"/>
              <w:jc w:val="center"/>
              <w:rPr>
                <w:rFonts w:eastAsia="標楷體"/>
              </w:rPr>
            </w:pPr>
            <w:r w:rsidRPr="00AE0D77">
              <w:rPr>
                <w:rFonts w:eastAsia="標楷體"/>
              </w:rPr>
              <w:t>20.1</w:t>
            </w:r>
          </w:p>
        </w:tc>
      </w:tr>
      <w:tr w:rsidR="00FC4D38" w:rsidRPr="00AE0D77" w:rsidTr="00FC4D38">
        <w:trPr>
          <w:cantSplit/>
          <w:trHeight w:val="360"/>
          <w:jc w:val="center"/>
        </w:trPr>
        <w:tc>
          <w:tcPr>
            <w:tcW w:w="1612" w:type="dxa"/>
            <w:tcBorders>
              <w:top w:val="nil"/>
              <w:left w:val="nil"/>
              <w:bottom w:val="nil"/>
              <w:right w:val="single" w:sz="4" w:space="0" w:color="auto"/>
            </w:tcBorders>
            <w:vAlign w:val="center"/>
          </w:tcPr>
          <w:p w:rsidR="00FC4D38" w:rsidRPr="00AE0D77" w:rsidRDefault="00FC4D38" w:rsidP="00FC4D38">
            <w:pPr>
              <w:snapToGrid w:val="0"/>
              <w:ind w:right="-142"/>
              <w:jc w:val="center"/>
              <w:rPr>
                <w:rFonts w:eastAsia="標楷體"/>
                <w:kern w:val="0"/>
                <w:sz w:val="22"/>
                <w:szCs w:val="20"/>
              </w:rPr>
            </w:pPr>
            <w:r w:rsidRPr="00AE0D77">
              <w:rPr>
                <w:rFonts w:eastAsia="標楷體"/>
                <w:kern w:val="0"/>
                <w:sz w:val="22"/>
                <w:szCs w:val="20"/>
              </w:rPr>
              <w:t>2014</w:t>
            </w:r>
            <w:r w:rsidRPr="00AE0D7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FC4D38" w:rsidRPr="00AE0D77" w:rsidRDefault="00FC4D38" w:rsidP="00FC4D38">
            <w:pPr>
              <w:widowControl/>
              <w:ind w:right="-142" w:firstLineChars="150" w:firstLine="360"/>
              <w:rPr>
                <w:rFonts w:eastAsia="標楷體"/>
                <w:kern w:val="0"/>
              </w:rPr>
            </w:pPr>
            <w:r w:rsidRPr="00AE0D77">
              <w:rPr>
                <w:rFonts w:eastAsia="標楷體"/>
                <w:kern w:val="0"/>
              </w:rPr>
              <w:t>502,005</w:t>
            </w:r>
          </w:p>
        </w:tc>
        <w:tc>
          <w:tcPr>
            <w:tcW w:w="1103" w:type="dxa"/>
            <w:tcBorders>
              <w:top w:val="nil"/>
              <w:left w:val="single" w:sz="4" w:space="0" w:color="auto"/>
              <w:bottom w:val="nil"/>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15.7</w:t>
            </w:r>
          </w:p>
        </w:tc>
        <w:tc>
          <w:tcPr>
            <w:tcW w:w="1053" w:type="dxa"/>
            <w:tcBorders>
              <w:top w:val="nil"/>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25,371</w:t>
            </w:r>
          </w:p>
        </w:tc>
        <w:tc>
          <w:tcPr>
            <w:tcW w:w="922" w:type="dxa"/>
            <w:tcBorders>
              <w:top w:val="nil"/>
              <w:bottom w:val="nil"/>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10.8</w:t>
            </w:r>
          </w:p>
        </w:tc>
        <w:tc>
          <w:tcPr>
            <w:tcW w:w="1037" w:type="dxa"/>
            <w:tcBorders>
              <w:top w:val="nil"/>
              <w:left w:val="single" w:sz="4" w:space="0" w:color="auto"/>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476,634</w:t>
            </w:r>
          </w:p>
        </w:tc>
        <w:tc>
          <w:tcPr>
            <w:tcW w:w="840" w:type="dxa"/>
            <w:tcBorders>
              <w:top w:val="nil"/>
              <w:left w:val="single" w:sz="4" w:space="0" w:color="auto"/>
              <w:bottom w:val="nil"/>
              <w:right w:val="nil"/>
            </w:tcBorders>
            <w:vAlign w:val="center"/>
          </w:tcPr>
          <w:p w:rsidR="00FC4D38" w:rsidRPr="00AE0D77" w:rsidRDefault="00FC4D38" w:rsidP="00FC4D38">
            <w:pPr>
              <w:ind w:right="-142"/>
              <w:jc w:val="center"/>
              <w:rPr>
                <w:rFonts w:eastAsia="標楷體"/>
              </w:rPr>
            </w:pPr>
            <w:r w:rsidRPr="00AE0D77">
              <w:rPr>
                <w:rFonts w:eastAsia="標楷體"/>
              </w:rPr>
              <w:t>15.9</w:t>
            </w:r>
          </w:p>
        </w:tc>
      </w:tr>
      <w:tr w:rsidR="00FC4D38" w:rsidRPr="00AE0D77" w:rsidTr="00FC4D38">
        <w:trPr>
          <w:cantSplit/>
          <w:trHeight w:val="360"/>
          <w:jc w:val="center"/>
        </w:trPr>
        <w:tc>
          <w:tcPr>
            <w:tcW w:w="1612" w:type="dxa"/>
            <w:tcBorders>
              <w:top w:val="nil"/>
              <w:left w:val="nil"/>
              <w:bottom w:val="nil"/>
              <w:right w:val="single" w:sz="4" w:space="0" w:color="auto"/>
            </w:tcBorders>
            <w:vAlign w:val="center"/>
          </w:tcPr>
          <w:p w:rsidR="00FC4D38" w:rsidRPr="00AE0D77" w:rsidRDefault="00FC4D38" w:rsidP="00FC4D38">
            <w:pPr>
              <w:snapToGrid w:val="0"/>
              <w:ind w:right="-142"/>
              <w:jc w:val="center"/>
              <w:rPr>
                <w:rFonts w:eastAsia="標楷體"/>
                <w:kern w:val="0"/>
                <w:sz w:val="22"/>
                <w:szCs w:val="20"/>
              </w:rPr>
            </w:pPr>
            <w:r w:rsidRPr="00AE0D77">
              <w:rPr>
                <w:rFonts w:eastAsia="標楷體"/>
                <w:kern w:val="0"/>
                <w:sz w:val="22"/>
                <w:szCs w:val="20"/>
              </w:rPr>
              <w:t>2015</w:t>
            </w:r>
            <w:r w:rsidRPr="00AE0D7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FC4D38" w:rsidRPr="00AE0D77" w:rsidRDefault="00FC4D38" w:rsidP="00FC4D38">
            <w:pPr>
              <w:widowControl/>
              <w:ind w:right="-142" w:firstLineChars="150" w:firstLine="360"/>
              <w:rPr>
                <w:rFonts w:eastAsia="標楷體"/>
                <w:kern w:val="0"/>
              </w:rPr>
            </w:pPr>
            <w:r w:rsidRPr="00AE0D77">
              <w:rPr>
                <w:rFonts w:eastAsia="標楷體"/>
                <w:kern w:val="0"/>
              </w:rPr>
              <w:t>551,590</w:t>
            </w:r>
          </w:p>
        </w:tc>
        <w:tc>
          <w:tcPr>
            <w:tcW w:w="1103" w:type="dxa"/>
            <w:tcBorders>
              <w:top w:val="nil"/>
              <w:left w:val="single" w:sz="4" w:space="0" w:color="auto"/>
              <w:bottom w:val="nil"/>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10.0</w:t>
            </w:r>
          </w:p>
        </w:tc>
        <w:tc>
          <w:tcPr>
            <w:tcW w:w="1053" w:type="dxa"/>
            <w:tcBorders>
              <w:top w:val="nil"/>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26,224</w:t>
            </w:r>
          </w:p>
        </w:tc>
        <w:tc>
          <w:tcPr>
            <w:tcW w:w="922" w:type="dxa"/>
            <w:tcBorders>
              <w:top w:val="nil"/>
              <w:bottom w:val="nil"/>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6.4</w:t>
            </w:r>
          </w:p>
        </w:tc>
        <w:tc>
          <w:tcPr>
            <w:tcW w:w="1037" w:type="dxa"/>
            <w:tcBorders>
              <w:top w:val="nil"/>
              <w:left w:val="single" w:sz="4" w:space="0" w:color="auto"/>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525,366</w:t>
            </w:r>
          </w:p>
        </w:tc>
        <w:tc>
          <w:tcPr>
            <w:tcW w:w="840" w:type="dxa"/>
            <w:tcBorders>
              <w:top w:val="nil"/>
              <w:left w:val="single" w:sz="4" w:space="0" w:color="auto"/>
              <w:bottom w:val="nil"/>
              <w:right w:val="nil"/>
            </w:tcBorders>
            <w:vAlign w:val="center"/>
          </w:tcPr>
          <w:p w:rsidR="00FC4D38" w:rsidRPr="00AE0D77" w:rsidRDefault="00FC4D38" w:rsidP="00FC4D38">
            <w:pPr>
              <w:ind w:right="-142"/>
              <w:jc w:val="center"/>
              <w:rPr>
                <w:rFonts w:eastAsia="標楷體"/>
              </w:rPr>
            </w:pPr>
            <w:r w:rsidRPr="00AE0D77">
              <w:rPr>
                <w:rFonts w:eastAsia="標楷體"/>
              </w:rPr>
              <w:t>10.2</w:t>
            </w:r>
          </w:p>
        </w:tc>
      </w:tr>
      <w:tr w:rsidR="00FC4D38" w:rsidRPr="00AE0D77" w:rsidTr="00FC4D38">
        <w:trPr>
          <w:cantSplit/>
          <w:trHeight w:val="360"/>
          <w:jc w:val="center"/>
        </w:trPr>
        <w:tc>
          <w:tcPr>
            <w:tcW w:w="1612" w:type="dxa"/>
            <w:tcBorders>
              <w:top w:val="nil"/>
              <w:left w:val="nil"/>
              <w:bottom w:val="nil"/>
              <w:right w:val="single" w:sz="4" w:space="0" w:color="auto"/>
            </w:tcBorders>
            <w:vAlign w:val="center"/>
          </w:tcPr>
          <w:p w:rsidR="00FC4D38" w:rsidRPr="00AE0D77" w:rsidRDefault="00FC4D38" w:rsidP="00FC4D38">
            <w:pPr>
              <w:snapToGrid w:val="0"/>
              <w:ind w:right="-142"/>
              <w:jc w:val="center"/>
              <w:rPr>
                <w:rFonts w:eastAsia="標楷體"/>
                <w:kern w:val="0"/>
                <w:sz w:val="22"/>
                <w:szCs w:val="20"/>
              </w:rPr>
            </w:pPr>
            <w:r w:rsidRPr="00AE0D77">
              <w:rPr>
                <w:rFonts w:eastAsia="標楷體"/>
                <w:kern w:val="0"/>
                <w:sz w:val="22"/>
                <w:szCs w:val="20"/>
              </w:rPr>
              <w:t>2016</w:t>
            </w:r>
            <w:r w:rsidRPr="00AE0D7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FC4D38" w:rsidRPr="00AE0D77" w:rsidRDefault="00FC4D38" w:rsidP="00FC4D38">
            <w:pPr>
              <w:widowControl/>
              <w:ind w:right="-142" w:firstLineChars="150" w:firstLine="360"/>
              <w:rPr>
                <w:rFonts w:eastAsia="標楷體"/>
                <w:kern w:val="0"/>
              </w:rPr>
            </w:pPr>
            <w:r w:rsidRPr="00AE0D77">
              <w:rPr>
                <w:rFonts w:eastAsia="標楷體"/>
                <w:kern w:val="0"/>
              </w:rPr>
              <w:t>596,501</w:t>
            </w:r>
          </w:p>
        </w:tc>
        <w:tc>
          <w:tcPr>
            <w:tcW w:w="1103" w:type="dxa"/>
            <w:tcBorders>
              <w:top w:val="nil"/>
              <w:left w:val="single" w:sz="4" w:space="0" w:color="auto"/>
              <w:bottom w:val="nil"/>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8.1</w:t>
            </w:r>
          </w:p>
        </w:tc>
        <w:tc>
          <w:tcPr>
            <w:tcW w:w="1053" w:type="dxa"/>
            <w:tcBorders>
              <w:top w:val="nil"/>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25,164</w:t>
            </w:r>
          </w:p>
        </w:tc>
        <w:tc>
          <w:tcPr>
            <w:tcW w:w="922" w:type="dxa"/>
            <w:tcBorders>
              <w:top w:val="nil"/>
              <w:bottom w:val="nil"/>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4.9</w:t>
            </w:r>
          </w:p>
        </w:tc>
        <w:tc>
          <w:tcPr>
            <w:tcW w:w="1037" w:type="dxa"/>
            <w:tcBorders>
              <w:top w:val="nil"/>
              <w:left w:val="single" w:sz="4" w:space="0" w:color="auto"/>
              <w:bottom w:val="nil"/>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571,337</w:t>
            </w:r>
          </w:p>
        </w:tc>
        <w:tc>
          <w:tcPr>
            <w:tcW w:w="840" w:type="dxa"/>
            <w:tcBorders>
              <w:top w:val="nil"/>
              <w:left w:val="single" w:sz="4" w:space="0" w:color="auto"/>
              <w:bottom w:val="nil"/>
              <w:right w:val="nil"/>
            </w:tcBorders>
            <w:vAlign w:val="center"/>
          </w:tcPr>
          <w:p w:rsidR="00FC4D38" w:rsidRPr="00AE0D77" w:rsidRDefault="00FC4D38" w:rsidP="00FC4D38">
            <w:pPr>
              <w:ind w:right="-142"/>
              <w:jc w:val="center"/>
              <w:rPr>
                <w:rFonts w:eastAsia="標楷體"/>
              </w:rPr>
            </w:pPr>
            <w:r w:rsidRPr="00AE0D77">
              <w:rPr>
                <w:rFonts w:eastAsia="標楷體"/>
              </w:rPr>
              <w:t>8.3</w:t>
            </w:r>
          </w:p>
        </w:tc>
      </w:tr>
      <w:tr w:rsidR="00FC4D38" w:rsidRPr="00AE0D77" w:rsidTr="00FC4D38">
        <w:trPr>
          <w:cantSplit/>
          <w:trHeight w:val="360"/>
          <w:jc w:val="center"/>
        </w:trPr>
        <w:tc>
          <w:tcPr>
            <w:tcW w:w="1612" w:type="dxa"/>
            <w:tcBorders>
              <w:top w:val="nil"/>
              <w:left w:val="nil"/>
              <w:bottom w:val="single" w:sz="4" w:space="0" w:color="auto"/>
              <w:right w:val="single" w:sz="4" w:space="0" w:color="auto"/>
            </w:tcBorders>
            <w:vAlign w:val="center"/>
          </w:tcPr>
          <w:p w:rsidR="00FC4D38" w:rsidRPr="00AE0D77" w:rsidRDefault="00FC4D38" w:rsidP="00FC4D38">
            <w:pPr>
              <w:snapToGrid w:val="0"/>
              <w:ind w:right="-142"/>
              <w:rPr>
                <w:rFonts w:eastAsia="標楷體"/>
                <w:kern w:val="0"/>
                <w:sz w:val="22"/>
                <w:szCs w:val="20"/>
              </w:rPr>
            </w:pPr>
            <w:r w:rsidRPr="00AE0D77">
              <w:rPr>
                <w:rFonts w:eastAsia="標楷體"/>
                <w:kern w:val="0"/>
                <w:sz w:val="22"/>
                <w:szCs w:val="20"/>
              </w:rPr>
              <w:t>2017</w:t>
            </w:r>
            <w:r w:rsidRPr="00AE0D77">
              <w:rPr>
                <w:rFonts w:eastAsia="標楷體"/>
                <w:kern w:val="0"/>
                <w:sz w:val="22"/>
                <w:szCs w:val="20"/>
              </w:rPr>
              <w:t>年</w:t>
            </w:r>
            <w:r w:rsidRPr="00AE0D77">
              <w:rPr>
                <w:rFonts w:eastAsia="標楷體"/>
                <w:kern w:val="0"/>
                <w:sz w:val="22"/>
                <w:szCs w:val="20"/>
              </w:rPr>
              <w:t>1~5</w:t>
            </w:r>
            <w:r w:rsidRPr="00AE0D77">
              <w:rPr>
                <w:rFonts w:eastAsia="標楷體"/>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FC4D38" w:rsidRPr="00AE0D77" w:rsidRDefault="00FC4D38" w:rsidP="00FC4D38">
            <w:pPr>
              <w:widowControl/>
              <w:ind w:right="-142" w:firstLineChars="150" w:firstLine="360"/>
              <w:rPr>
                <w:rFonts w:eastAsia="標楷體"/>
                <w:kern w:val="0"/>
              </w:rPr>
            </w:pPr>
            <w:r w:rsidRPr="00AE0D77">
              <w:rPr>
                <w:rFonts w:eastAsia="標楷體"/>
                <w:kern w:val="0"/>
              </w:rPr>
              <w:t>203,718</w:t>
            </w:r>
          </w:p>
        </w:tc>
        <w:tc>
          <w:tcPr>
            <w:tcW w:w="1103" w:type="dxa"/>
            <w:tcBorders>
              <w:top w:val="nil"/>
              <w:left w:val="single" w:sz="4" w:space="0" w:color="auto"/>
              <w:bottom w:val="single" w:sz="4" w:space="0" w:color="auto"/>
              <w:right w:val="double" w:sz="4" w:space="0" w:color="auto"/>
            </w:tcBorders>
            <w:vAlign w:val="center"/>
          </w:tcPr>
          <w:p w:rsidR="00FC4D38" w:rsidRPr="00AE0D77" w:rsidRDefault="00FC4D38" w:rsidP="00FC4D38">
            <w:pPr>
              <w:widowControl/>
              <w:ind w:right="-142"/>
              <w:jc w:val="center"/>
              <w:rPr>
                <w:rFonts w:eastAsia="標楷體"/>
                <w:kern w:val="0"/>
              </w:rPr>
            </w:pPr>
            <w:r w:rsidRPr="00AE0D77">
              <w:rPr>
                <w:rFonts w:eastAsia="標楷體"/>
                <w:kern w:val="0"/>
              </w:rPr>
              <w:t>8.6</w:t>
            </w:r>
          </w:p>
        </w:tc>
        <w:tc>
          <w:tcPr>
            <w:tcW w:w="1053" w:type="dxa"/>
            <w:tcBorders>
              <w:top w:val="nil"/>
              <w:bottom w:val="single" w:sz="4" w:space="0" w:color="auto"/>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7,035</w:t>
            </w:r>
          </w:p>
        </w:tc>
        <w:tc>
          <w:tcPr>
            <w:tcW w:w="922" w:type="dxa"/>
            <w:tcBorders>
              <w:top w:val="nil"/>
              <w:bottom w:val="single" w:sz="4" w:space="0" w:color="auto"/>
              <w:right w:val="single" w:sz="4" w:space="0" w:color="auto"/>
            </w:tcBorders>
            <w:vAlign w:val="center"/>
          </w:tcPr>
          <w:p w:rsidR="00FC4D38" w:rsidRPr="00AE0D77" w:rsidRDefault="00FC4D38" w:rsidP="00FC4D38">
            <w:pPr>
              <w:ind w:right="-142"/>
              <w:jc w:val="center"/>
              <w:rPr>
                <w:rFonts w:eastAsia="標楷體"/>
              </w:rPr>
            </w:pPr>
            <w:r w:rsidRPr="00AE0D77">
              <w:rPr>
                <w:rFonts w:eastAsia="標楷體"/>
              </w:rPr>
              <w:t>-10.2</w:t>
            </w:r>
          </w:p>
        </w:tc>
        <w:tc>
          <w:tcPr>
            <w:tcW w:w="1037" w:type="dxa"/>
            <w:tcBorders>
              <w:top w:val="nil"/>
              <w:left w:val="single" w:sz="4" w:space="0" w:color="auto"/>
              <w:bottom w:val="single" w:sz="4" w:space="0" w:color="auto"/>
              <w:right w:val="single" w:sz="4" w:space="0" w:color="auto"/>
            </w:tcBorders>
            <w:vAlign w:val="center"/>
          </w:tcPr>
          <w:p w:rsidR="00FC4D38" w:rsidRPr="00AE0D77" w:rsidRDefault="00FC4D38" w:rsidP="00FC4D38">
            <w:pPr>
              <w:ind w:leftChars="38" w:left="91" w:rightChars="25" w:right="60"/>
              <w:jc w:val="right"/>
              <w:rPr>
                <w:rFonts w:eastAsia="標楷體"/>
              </w:rPr>
            </w:pPr>
            <w:r w:rsidRPr="00AE0D77">
              <w:rPr>
                <w:rFonts w:eastAsia="標楷體"/>
              </w:rPr>
              <w:t>196,683</w:t>
            </w:r>
          </w:p>
        </w:tc>
        <w:tc>
          <w:tcPr>
            <w:tcW w:w="840" w:type="dxa"/>
            <w:tcBorders>
              <w:top w:val="nil"/>
              <w:left w:val="single" w:sz="4" w:space="0" w:color="auto"/>
              <w:bottom w:val="single" w:sz="4" w:space="0" w:color="auto"/>
              <w:right w:val="nil"/>
            </w:tcBorders>
            <w:vAlign w:val="center"/>
          </w:tcPr>
          <w:p w:rsidR="00FC4D38" w:rsidRPr="00AE0D77" w:rsidRDefault="00FC4D38" w:rsidP="00FC4D38">
            <w:pPr>
              <w:ind w:right="-142"/>
              <w:jc w:val="center"/>
              <w:rPr>
                <w:rFonts w:eastAsia="標楷體"/>
              </w:rPr>
            </w:pPr>
            <w:r w:rsidRPr="00AE0D77">
              <w:rPr>
                <w:rFonts w:eastAsia="標楷體"/>
              </w:rPr>
              <w:t>9.4</w:t>
            </w:r>
          </w:p>
        </w:tc>
      </w:tr>
    </w:tbl>
    <w:p w:rsidR="0023045D" w:rsidRPr="00AE0D77" w:rsidRDefault="0023045D" w:rsidP="0023045D">
      <w:pPr>
        <w:pStyle w:val="a9"/>
        <w:widowControl/>
        <w:snapToGrid w:val="0"/>
        <w:spacing w:line="240" w:lineRule="atLeast"/>
        <w:ind w:left="-180" w:right="-142" w:firstLine="440"/>
        <w:jc w:val="both"/>
        <w:rPr>
          <w:rFonts w:ascii="Times New Roman" w:eastAsia="標楷體"/>
          <w:sz w:val="22"/>
        </w:rPr>
      </w:pPr>
      <w:r w:rsidRPr="00AE0D77">
        <w:rPr>
          <w:rFonts w:ascii="Times New Roman" w:eastAsia="標楷體"/>
          <w:sz w:val="22"/>
        </w:rPr>
        <w:t>註：中國大陸國家統計局自</w:t>
      </w:r>
      <w:r w:rsidRPr="00AE0D77">
        <w:rPr>
          <w:rFonts w:ascii="Times New Roman" w:eastAsia="標楷體"/>
          <w:sz w:val="22"/>
        </w:rPr>
        <w:t>2011</w:t>
      </w:r>
      <w:r w:rsidRPr="00AE0D77">
        <w:rPr>
          <w:rFonts w:ascii="Times New Roman" w:eastAsia="標楷體"/>
          <w:sz w:val="22"/>
        </w:rPr>
        <w:t>年</w:t>
      </w:r>
      <w:r w:rsidRPr="00AE0D77">
        <w:rPr>
          <w:rFonts w:ascii="Times New Roman" w:eastAsia="標楷體"/>
          <w:sz w:val="22"/>
        </w:rPr>
        <w:t>4</w:t>
      </w:r>
      <w:r w:rsidRPr="00AE0D77">
        <w:rPr>
          <w:rFonts w:ascii="Times New Roman" w:eastAsia="標楷體"/>
          <w:sz w:val="22"/>
        </w:rPr>
        <w:t>月起，公布之固定資產投資數據不含農戶。</w:t>
      </w:r>
    </w:p>
    <w:p w:rsidR="0023045D" w:rsidRPr="00AE0D77" w:rsidRDefault="0023045D" w:rsidP="0023045D">
      <w:pPr>
        <w:pStyle w:val="a9"/>
        <w:ind w:firstLineChars="129" w:firstLine="284"/>
        <w:rPr>
          <w:rFonts w:ascii="Times New Roman" w:eastAsia="標楷體"/>
          <w:sz w:val="22"/>
        </w:rPr>
      </w:pPr>
      <w:r w:rsidRPr="00AE0D77">
        <w:rPr>
          <w:rFonts w:ascii="Times New Roman" w:eastAsia="標楷體"/>
          <w:sz w:val="22"/>
        </w:rPr>
        <w:t>資料來源：中國大陸統計年鑑；中國大陸國家統計局。</w:t>
      </w:r>
    </w:p>
    <w:p w:rsidR="003D2A73" w:rsidRPr="00AE0D77" w:rsidRDefault="003D2A73" w:rsidP="003D2A73">
      <w:pPr>
        <w:pStyle w:val="t-3"/>
        <w:snapToGrid w:val="0"/>
        <w:spacing w:beforeLines="50" w:before="180" w:line="300" w:lineRule="auto"/>
        <w:ind w:right="-60"/>
        <w:rPr>
          <w:b w:val="0"/>
          <w:bCs w:val="0"/>
        </w:rPr>
      </w:pPr>
      <w:bookmarkStart w:id="151" w:name="_Toc486347640"/>
      <w:r w:rsidRPr="00AE0D77">
        <w:t>（二）吸引外資</w:t>
      </w:r>
      <w:bookmarkEnd w:id="151"/>
    </w:p>
    <w:p w:rsidR="00FC4D38" w:rsidRPr="00AE0D77" w:rsidRDefault="0023045D" w:rsidP="00FC4D38">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bookmarkStart w:id="152" w:name="_Toc433892481"/>
      <w:r w:rsidRPr="00AE0D77">
        <w:rPr>
          <w:rFonts w:eastAsia="標楷體"/>
          <w:sz w:val="28"/>
        </w:rPr>
        <w:t>－</w:t>
      </w:r>
      <w:r w:rsidR="00FC4D38" w:rsidRPr="00AE0D77">
        <w:rPr>
          <w:rFonts w:eastAsia="標楷體"/>
          <w:kern w:val="0"/>
          <w:sz w:val="28"/>
          <w:szCs w:val="20"/>
        </w:rPr>
        <w:t>2017</w:t>
      </w:r>
      <w:r w:rsidR="00FC4D38" w:rsidRPr="00AE0D77">
        <w:rPr>
          <w:rFonts w:eastAsia="標楷體"/>
          <w:kern w:val="0"/>
          <w:sz w:val="28"/>
          <w:szCs w:val="20"/>
        </w:rPr>
        <w:t>年</w:t>
      </w:r>
      <w:r w:rsidR="00FC4D38" w:rsidRPr="00AE0D77">
        <w:rPr>
          <w:rFonts w:eastAsia="標楷體"/>
          <w:kern w:val="0"/>
          <w:sz w:val="28"/>
          <w:szCs w:val="20"/>
        </w:rPr>
        <w:t>4</w:t>
      </w:r>
      <w:r w:rsidR="00FC4D38" w:rsidRPr="00AE0D77">
        <w:rPr>
          <w:rFonts w:eastAsia="標楷體"/>
          <w:kern w:val="0"/>
          <w:sz w:val="28"/>
          <w:szCs w:val="20"/>
        </w:rPr>
        <w:t>月中國大陸非金融領域新批設立外商投資企業</w:t>
      </w:r>
      <w:r w:rsidR="00FC4D38" w:rsidRPr="00AE0D77">
        <w:rPr>
          <w:rFonts w:eastAsia="標楷體"/>
          <w:kern w:val="0"/>
          <w:sz w:val="28"/>
          <w:szCs w:val="20"/>
        </w:rPr>
        <w:t>3,343</w:t>
      </w:r>
      <w:r w:rsidR="00FC4D38" w:rsidRPr="00AE0D77">
        <w:rPr>
          <w:rFonts w:eastAsia="標楷體"/>
          <w:kern w:val="0"/>
          <w:sz w:val="28"/>
          <w:szCs w:val="20"/>
        </w:rPr>
        <w:t>家，較上年同期增加</w:t>
      </w:r>
      <w:r w:rsidR="00FC4D38" w:rsidRPr="00AE0D77">
        <w:rPr>
          <w:rFonts w:eastAsia="標楷體"/>
          <w:kern w:val="0"/>
          <w:sz w:val="28"/>
          <w:szCs w:val="20"/>
        </w:rPr>
        <w:t>42.7%</w:t>
      </w:r>
      <w:r w:rsidR="00FC4D38" w:rsidRPr="00AE0D77">
        <w:rPr>
          <w:rFonts w:eastAsia="標楷體"/>
          <w:kern w:val="0"/>
          <w:sz w:val="28"/>
          <w:szCs w:val="20"/>
        </w:rPr>
        <w:t>；實際利用外資金額為</w:t>
      </w:r>
      <w:r w:rsidR="00FC4D38" w:rsidRPr="00AE0D77">
        <w:rPr>
          <w:rFonts w:eastAsia="標楷體"/>
          <w:kern w:val="0"/>
          <w:sz w:val="28"/>
          <w:szCs w:val="20"/>
        </w:rPr>
        <w:t>89.2</w:t>
      </w:r>
      <w:r w:rsidR="00FC4D38" w:rsidRPr="00AE0D77">
        <w:rPr>
          <w:rFonts w:eastAsia="標楷體"/>
          <w:kern w:val="0"/>
          <w:sz w:val="28"/>
          <w:szCs w:val="20"/>
        </w:rPr>
        <w:t>億美元，較上年同期減少</w:t>
      </w:r>
      <w:r w:rsidR="00FC4D38" w:rsidRPr="00AE0D77">
        <w:rPr>
          <w:rFonts w:eastAsia="標楷體"/>
          <w:kern w:val="0"/>
          <w:sz w:val="28"/>
          <w:szCs w:val="20"/>
        </w:rPr>
        <w:t>9.8%</w:t>
      </w:r>
      <w:r w:rsidR="00FC4D38" w:rsidRPr="00AE0D77">
        <w:rPr>
          <w:rFonts w:eastAsia="標楷體"/>
          <w:kern w:val="0"/>
          <w:sz w:val="28"/>
          <w:szCs w:val="20"/>
        </w:rPr>
        <w:t>。</w:t>
      </w:r>
    </w:p>
    <w:p w:rsidR="0023045D" w:rsidRPr="00AE0D77" w:rsidRDefault="00FC4D38" w:rsidP="00FC4D38">
      <w:pPr>
        <w:pStyle w:val="a9"/>
        <w:widowControl/>
        <w:overflowPunct w:val="0"/>
        <w:snapToGrid w:val="0"/>
        <w:spacing w:line="276" w:lineRule="auto"/>
        <w:ind w:leftChars="140" w:left="616" w:right="-142" w:hangingChars="100" w:hanging="280"/>
        <w:jc w:val="both"/>
        <w:rPr>
          <w:rFonts w:ascii="Times New Roman" w:eastAsia="標楷體"/>
          <w:sz w:val="28"/>
        </w:rPr>
      </w:pPr>
      <w:r w:rsidRPr="00AE0D77">
        <w:rPr>
          <w:rFonts w:ascii="Times New Roman" w:eastAsia="標楷體"/>
          <w:sz w:val="28"/>
        </w:rPr>
        <w:t>－</w:t>
      </w:r>
      <w:r w:rsidRPr="00AE0D77">
        <w:rPr>
          <w:rFonts w:ascii="Times New Roman" w:eastAsia="標楷體"/>
          <w:sz w:val="28"/>
        </w:rPr>
        <w:t>2017</w:t>
      </w:r>
      <w:r w:rsidRPr="00AE0D77">
        <w:rPr>
          <w:rFonts w:ascii="Times New Roman" w:eastAsia="標楷體"/>
          <w:sz w:val="28"/>
        </w:rPr>
        <w:t>年</w:t>
      </w:r>
      <w:r w:rsidRPr="00AE0D77">
        <w:rPr>
          <w:rFonts w:ascii="Times New Roman" w:eastAsia="標楷體"/>
          <w:sz w:val="28"/>
        </w:rPr>
        <w:t>4</w:t>
      </w:r>
      <w:r w:rsidRPr="00AE0D77">
        <w:rPr>
          <w:rFonts w:ascii="Times New Roman" w:eastAsia="標楷體"/>
          <w:sz w:val="28"/>
        </w:rPr>
        <w:t>月外資企業進出口總額</w:t>
      </w:r>
      <w:r w:rsidRPr="00AE0D77">
        <w:rPr>
          <w:rFonts w:ascii="Times New Roman" w:eastAsia="標楷體"/>
          <w:sz w:val="28"/>
        </w:rPr>
        <w:t>1,387</w:t>
      </w:r>
      <w:r w:rsidRPr="00AE0D77">
        <w:rPr>
          <w:rFonts w:ascii="Times New Roman" w:eastAsia="標楷體"/>
          <w:sz w:val="28"/>
        </w:rPr>
        <w:t>億美元，較上年同期成長</w:t>
      </w:r>
      <w:r w:rsidRPr="00AE0D77">
        <w:rPr>
          <w:rFonts w:ascii="Times New Roman" w:eastAsia="標楷體"/>
          <w:sz w:val="28"/>
        </w:rPr>
        <w:t>3.6%</w:t>
      </w:r>
      <w:r w:rsidRPr="00AE0D77">
        <w:rPr>
          <w:rFonts w:ascii="Times New Roman" w:eastAsia="標楷體"/>
          <w:sz w:val="28"/>
        </w:rPr>
        <w:t>。其中，出口額為</w:t>
      </w:r>
      <w:r w:rsidRPr="00AE0D77">
        <w:rPr>
          <w:rFonts w:ascii="Times New Roman" w:eastAsia="標楷體"/>
          <w:sz w:val="28"/>
        </w:rPr>
        <w:t>741</w:t>
      </w:r>
      <w:r w:rsidRPr="00AE0D77">
        <w:rPr>
          <w:rFonts w:ascii="Times New Roman" w:eastAsia="標楷體"/>
          <w:sz w:val="28"/>
        </w:rPr>
        <w:t>億美元，成長</w:t>
      </w:r>
      <w:r w:rsidRPr="00AE0D77">
        <w:rPr>
          <w:rFonts w:ascii="Times New Roman" w:eastAsia="標楷體"/>
          <w:sz w:val="28"/>
        </w:rPr>
        <w:t>2.6%</w:t>
      </w:r>
      <w:r w:rsidRPr="00AE0D77">
        <w:rPr>
          <w:rFonts w:ascii="Times New Roman" w:eastAsia="標楷體"/>
          <w:sz w:val="28"/>
        </w:rPr>
        <w:t>，占整體出口比重為</w:t>
      </w:r>
      <w:r w:rsidRPr="00AE0D77">
        <w:rPr>
          <w:rFonts w:ascii="Times New Roman" w:eastAsia="標楷體"/>
          <w:sz w:val="28"/>
        </w:rPr>
        <w:t>41.1%</w:t>
      </w:r>
      <w:r w:rsidRPr="00AE0D77">
        <w:rPr>
          <w:rFonts w:ascii="Times New Roman" w:eastAsia="標楷體"/>
          <w:sz w:val="28"/>
        </w:rPr>
        <w:t>；進口額</w:t>
      </w:r>
      <w:r w:rsidRPr="00AE0D77">
        <w:rPr>
          <w:rFonts w:ascii="Times New Roman" w:eastAsia="標楷體"/>
          <w:sz w:val="28"/>
        </w:rPr>
        <w:t>646</w:t>
      </w:r>
      <w:r w:rsidRPr="00AE0D77">
        <w:rPr>
          <w:rFonts w:ascii="Times New Roman" w:eastAsia="標楷體"/>
          <w:sz w:val="28"/>
        </w:rPr>
        <w:t>億美元，成長</w:t>
      </w:r>
      <w:r w:rsidRPr="00AE0D77">
        <w:rPr>
          <w:rFonts w:ascii="Times New Roman" w:eastAsia="標楷體"/>
          <w:sz w:val="28"/>
        </w:rPr>
        <w:t>4.8%</w:t>
      </w:r>
      <w:r w:rsidRPr="00AE0D77">
        <w:rPr>
          <w:rFonts w:ascii="Times New Roman" w:eastAsia="標楷體"/>
          <w:sz w:val="28"/>
        </w:rPr>
        <w:t>，比重為</w:t>
      </w:r>
      <w:r w:rsidRPr="00AE0D77">
        <w:rPr>
          <w:rFonts w:ascii="Times New Roman" w:eastAsia="標楷體"/>
          <w:sz w:val="28"/>
        </w:rPr>
        <w:t>45.5%</w:t>
      </w:r>
      <w:r w:rsidR="0023045D" w:rsidRPr="00AE0D77">
        <w:rPr>
          <w:rFonts w:ascii="Times New Roman" w:eastAsia="標楷體"/>
          <w:sz w:val="28"/>
        </w:rPr>
        <w:t>。</w:t>
      </w:r>
    </w:p>
    <w:p w:rsidR="0023045D" w:rsidRPr="00AE0D77" w:rsidRDefault="00FC4D38" w:rsidP="00FC4D38">
      <w:pPr>
        <w:pStyle w:val="a9"/>
        <w:widowControl/>
        <w:snapToGrid w:val="0"/>
        <w:spacing w:line="300" w:lineRule="auto"/>
        <w:ind w:leftChars="139" w:left="574" w:right="-142" w:hangingChars="100" w:hanging="240"/>
        <w:jc w:val="both"/>
        <w:rPr>
          <w:rFonts w:ascii="Times New Roman" w:eastAsia="標楷體"/>
          <w:sz w:val="28"/>
        </w:rPr>
      </w:pPr>
      <w:r w:rsidRPr="00AE0D77">
        <w:rPr>
          <w:rFonts w:ascii="Times New Roman" w:eastAsia="標楷體"/>
          <w:noProof/>
        </w:rPr>
        <w:drawing>
          <wp:inline distT="0" distB="0" distL="0" distR="0" wp14:anchorId="67BAA603" wp14:editId="7E7FABDC">
            <wp:extent cx="5734050" cy="1530350"/>
            <wp:effectExtent l="0" t="0" r="0" b="0"/>
            <wp:docPr id="2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3045D" w:rsidRPr="00AE0D77" w:rsidRDefault="0023045D" w:rsidP="0023045D">
      <w:pPr>
        <w:pStyle w:val="a9"/>
        <w:widowControl/>
        <w:snapToGrid w:val="0"/>
        <w:spacing w:line="240" w:lineRule="atLeast"/>
        <w:ind w:left="372" w:rightChars="-80" w:right="-192" w:hangingChars="169" w:hanging="372"/>
        <w:jc w:val="both"/>
        <w:rPr>
          <w:rFonts w:ascii="Times New Roman" w:eastAsia="標楷體"/>
          <w:sz w:val="22"/>
        </w:rPr>
      </w:pPr>
      <w:r w:rsidRPr="00AE0D77">
        <w:rPr>
          <w:rFonts w:ascii="Times New Roman" w:eastAsia="標楷體"/>
          <w:sz w:val="22"/>
        </w:rPr>
        <w:t>註：上述國家對中國大陸投資金額包括透過維京群島、開曼群島、薩摩亞及模里西斯等地對中國大陸投資之金額。</w:t>
      </w:r>
    </w:p>
    <w:p w:rsidR="0023045D" w:rsidRPr="00AE0D77" w:rsidRDefault="0023045D" w:rsidP="0023045D">
      <w:pPr>
        <w:pStyle w:val="a9"/>
        <w:widowControl/>
        <w:snapToGrid w:val="0"/>
        <w:spacing w:before="120" w:line="180" w:lineRule="auto"/>
        <w:ind w:leftChars="297" w:left="993" w:right="-284" w:hangingChars="100" w:hanging="280"/>
        <w:jc w:val="right"/>
        <w:rPr>
          <w:rFonts w:ascii="Times New Roman" w:eastAsia="標楷體"/>
        </w:rPr>
      </w:pPr>
      <w:r w:rsidRPr="00AE0D77">
        <w:rPr>
          <w:rFonts w:ascii="Times New Roman" w:eastAsia="標楷體"/>
          <w:b/>
          <w:bCs/>
          <w:sz w:val="28"/>
        </w:rPr>
        <w:t>表</w:t>
      </w:r>
      <w:r w:rsidRPr="00AE0D77">
        <w:rPr>
          <w:rFonts w:ascii="Times New Roman" w:eastAsia="標楷體"/>
          <w:b/>
          <w:bCs/>
          <w:sz w:val="28"/>
        </w:rPr>
        <w:t xml:space="preserve">3-2  </w:t>
      </w:r>
      <w:r w:rsidRPr="00AE0D77">
        <w:rPr>
          <w:rFonts w:ascii="Times New Roman" w:eastAsia="標楷體"/>
          <w:b/>
          <w:bCs/>
          <w:sz w:val="28"/>
        </w:rPr>
        <w:t>中國大陸外資統計表</w:t>
      </w:r>
      <w:r w:rsidRPr="00AE0D77">
        <w:rPr>
          <w:rFonts w:ascii="Times New Roman" w:eastAsia="標楷體"/>
          <w:b/>
          <w:bCs/>
          <w:sz w:val="28"/>
        </w:rPr>
        <w:t xml:space="preserve">         </w:t>
      </w:r>
      <w:r w:rsidRPr="00AE0D77">
        <w:rPr>
          <w:rFonts w:ascii="Times New Roman" w:eastAsia="標楷體"/>
        </w:rPr>
        <w:t xml:space="preserve"> </w:t>
      </w:r>
      <w:r w:rsidRPr="00AE0D77">
        <w:rPr>
          <w:rFonts w:ascii="Times New Roman" w:eastAsia="標楷體"/>
        </w:rPr>
        <w:t>單位：億美元；</w:t>
      </w:r>
      <w:r w:rsidRPr="00AE0D77">
        <w:rPr>
          <w:rFonts w:ascii="Times New Roman" w:eastAsia="標楷體"/>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836741" w:rsidRPr="00AE0D77" w:rsidTr="003C2064">
        <w:trPr>
          <w:cantSplit/>
          <w:trHeight w:val="234"/>
        </w:trPr>
        <w:tc>
          <w:tcPr>
            <w:tcW w:w="1676" w:type="dxa"/>
            <w:vMerge w:val="restart"/>
            <w:tcBorders>
              <w:left w:val="nil"/>
            </w:tcBorders>
          </w:tcPr>
          <w:p w:rsidR="00E83DB6" w:rsidRPr="00AE0D77" w:rsidRDefault="00E83DB6" w:rsidP="00E83DB6">
            <w:pPr>
              <w:snapToGrid w:val="0"/>
              <w:spacing w:beforeLines="50" w:before="180" w:line="240" w:lineRule="atLeast"/>
              <w:ind w:left="-28"/>
              <w:jc w:val="center"/>
              <w:rPr>
                <w:rFonts w:eastAsia="標楷體"/>
                <w:sz w:val="22"/>
              </w:rPr>
            </w:pPr>
            <w:r w:rsidRPr="00AE0D77">
              <w:rPr>
                <w:rFonts w:eastAsia="標楷體"/>
                <w:sz w:val="22"/>
              </w:rPr>
              <w:t>年（月）</w:t>
            </w:r>
          </w:p>
        </w:tc>
        <w:tc>
          <w:tcPr>
            <w:tcW w:w="1009" w:type="dxa"/>
            <w:vMerge w:val="restart"/>
            <w:vAlign w:val="center"/>
          </w:tcPr>
          <w:p w:rsidR="00E83DB6" w:rsidRPr="00AE0D77" w:rsidRDefault="00E83DB6" w:rsidP="003C2064">
            <w:pPr>
              <w:snapToGrid w:val="0"/>
              <w:spacing w:line="240" w:lineRule="atLeast"/>
              <w:jc w:val="center"/>
              <w:rPr>
                <w:rFonts w:eastAsia="標楷體"/>
                <w:sz w:val="22"/>
              </w:rPr>
            </w:pPr>
            <w:r w:rsidRPr="00AE0D77">
              <w:rPr>
                <w:rFonts w:eastAsia="標楷體"/>
                <w:sz w:val="22"/>
              </w:rPr>
              <w:t>新批設</w:t>
            </w:r>
          </w:p>
          <w:p w:rsidR="00E83DB6" w:rsidRPr="00AE0D77" w:rsidRDefault="00E83DB6" w:rsidP="003C2064">
            <w:pPr>
              <w:snapToGrid w:val="0"/>
              <w:spacing w:line="240" w:lineRule="atLeast"/>
              <w:jc w:val="center"/>
              <w:rPr>
                <w:rFonts w:eastAsia="標楷體"/>
                <w:sz w:val="22"/>
              </w:rPr>
            </w:pPr>
            <w:r w:rsidRPr="00AE0D77">
              <w:rPr>
                <w:rFonts w:eastAsia="標楷體"/>
                <w:sz w:val="22"/>
              </w:rPr>
              <w:t>家數</w:t>
            </w:r>
          </w:p>
        </w:tc>
        <w:tc>
          <w:tcPr>
            <w:tcW w:w="2264" w:type="dxa"/>
            <w:gridSpan w:val="2"/>
          </w:tcPr>
          <w:p w:rsidR="00E83DB6" w:rsidRPr="00AE0D77" w:rsidRDefault="00E83DB6" w:rsidP="003C2064">
            <w:pPr>
              <w:snapToGrid w:val="0"/>
              <w:spacing w:line="240" w:lineRule="atLeast"/>
              <w:jc w:val="center"/>
              <w:rPr>
                <w:rFonts w:eastAsia="標楷體"/>
                <w:sz w:val="22"/>
              </w:rPr>
            </w:pPr>
            <w:r w:rsidRPr="00AE0D77">
              <w:rPr>
                <w:rFonts w:eastAsia="標楷體"/>
                <w:sz w:val="22"/>
              </w:rPr>
              <w:t>實際利用外資</w:t>
            </w:r>
          </w:p>
        </w:tc>
        <w:tc>
          <w:tcPr>
            <w:tcW w:w="4950" w:type="dxa"/>
            <w:gridSpan w:val="4"/>
            <w:tcBorders>
              <w:right w:val="nil"/>
            </w:tcBorders>
          </w:tcPr>
          <w:p w:rsidR="00E83DB6" w:rsidRPr="00AE0D77" w:rsidRDefault="00E83DB6" w:rsidP="003C2064">
            <w:pPr>
              <w:snapToGrid w:val="0"/>
              <w:spacing w:line="240" w:lineRule="atLeast"/>
              <w:jc w:val="center"/>
              <w:rPr>
                <w:rFonts w:eastAsia="標楷體"/>
                <w:sz w:val="22"/>
              </w:rPr>
            </w:pPr>
            <w:r w:rsidRPr="00AE0D77">
              <w:rPr>
                <w:rFonts w:eastAsia="標楷體"/>
                <w:sz w:val="22"/>
              </w:rPr>
              <w:t>外資企業</w:t>
            </w:r>
          </w:p>
        </w:tc>
      </w:tr>
      <w:tr w:rsidR="00836741" w:rsidRPr="00AE0D77" w:rsidTr="003C2064">
        <w:trPr>
          <w:cantSplit/>
          <w:trHeight w:val="170"/>
        </w:trPr>
        <w:tc>
          <w:tcPr>
            <w:tcW w:w="1676" w:type="dxa"/>
            <w:vMerge/>
            <w:tcBorders>
              <w:left w:val="nil"/>
              <w:bottom w:val="single" w:sz="4" w:space="0" w:color="auto"/>
            </w:tcBorders>
          </w:tcPr>
          <w:p w:rsidR="00E83DB6" w:rsidRPr="00AE0D77" w:rsidRDefault="00E83DB6" w:rsidP="003C2064">
            <w:pPr>
              <w:snapToGrid w:val="0"/>
              <w:spacing w:line="240" w:lineRule="atLeast"/>
              <w:ind w:left="-28"/>
              <w:jc w:val="center"/>
              <w:rPr>
                <w:rFonts w:eastAsia="標楷體"/>
                <w:sz w:val="22"/>
              </w:rPr>
            </w:pPr>
          </w:p>
        </w:tc>
        <w:tc>
          <w:tcPr>
            <w:tcW w:w="1009" w:type="dxa"/>
            <w:vMerge/>
            <w:tcBorders>
              <w:bottom w:val="single" w:sz="4" w:space="0" w:color="auto"/>
            </w:tcBorders>
          </w:tcPr>
          <w:p w:rsidR="00E83DB6" w:rsidRPr="00AE0D77" w:rsidRDefault="00E83DB6" w:rsidP="003C2064">
            <w:pPr>
              <w:snapToGrid w:val="0"/>
              <w:spacing w:line="240" w:lineRule="atLeast"/>
              <w:jc w:val="center"/>
              <w:rPr>
                <w:rFonts w:eastAsia="標楷體"/>
                <w:sz w:val="22"/>
              </w:rPr>
            </w:pPr>
          </w:p>
        </w:tc>
        <w:tc>
          <w:tcPr>
            <w:tcW w:w="1132" w:type="dxa"/>
            <w:tcBorders>
              <w:bottom w:val="single" w:sz="4" w:space="0" w:color="auto"/>
            </w:tcBorders>
          </w:tcPr>
          <w:p w:rsidR="00E83DB6" w:rsidRPr="00AE0D77" w:rsidRDefault="00E83DB6" w:rsidP="003C2064">
            <w:pPr>
              <w:snapToGrid w:val="0"/>
              <w:spacing w:line="240" w:lineRule="atLeast"/>
              <w:jc w:val="center"/>
              <w:rPr>
                <w:rFonts w:eastAsia="標楷體"/>
                <w:sz w:val="22"/>
              </w:rPr>
            </w:pPr>
            <w:r w:rsidRPr="00AE0D77">
              <w:rPr>
                <w:rFonts w:eastAsia="標楷體"/>
                <w:sz w:val="22"/>
              </w:rPr>
              <w:t>金額</w:t>
            </w:r>
          </w:p>
        </w:tc>
        <w:tc>
          <w:tcPr>
            <w:tcW w:w="1132" w:type="dxa"/>
            <w:tcBorders>
              <w:bottom w:val="single" w:sz="4" w:space="0" w:color="auto"/>
            </w:tcBorders>
          </w:tcPr>
          <w:p w:rsidR="00E83DB6" w:rsidRPr="00AE0D77" w:rsidRDefault="00E83DB6" w:rsidP="003C2064">
            <w:pPr>
              <w:snapToGrid w:val="0"/>
              <w:spacing w:line="240" w:lineRule="atLeast"/>
              <w:jc w:val="center"/>
              <w:rPr>
                <w:rFonts w:eastAsia="標楷體"/>
                <w:sz w:val="22"/>
              </w:rPr>
            </w:pPr>
            <w:r w:rsidRPr="00AE0D77">
              <w:rPr>
                <w:rFonts w:eastAsia="標楷體"/>
                <w:sz w:val="22"/>
              </w:rPr>
              <w:t>年增率</w:t>
            </w:r>
          </w:p>
        </w:tc>
        <w:tc>
          <w:tcPr>
            <w:tcW w:w="1236" w:type="dxa"/>
            <w:tcBorders>
              <w:bottom w:val="single" w:sz="4" w:space="0" w:color="auto"/>
            </w:tcBorders>
          </w:tcPr>
          <w:p w:rsidR="00E83DB6" w:rsidRPr="00AE0D77" w:rsidRDefault="00E83DB6" w:rsidP="003C2064">
            <w:pPr>
              <w:snapToGrid w:val="0"/>
              <w:spacing w:line="240" w:lineRule="atLeast"/>
              <w:jc w:val="center"/>
              <w:rPr>
                <w:rFonts w:eastAsia="標楷體"/>
                <w:sz w:val="22"/>
              </w:rPr>
            </w:pPr>
            <w:r w:rsidRPr="00AE0D77">
              <w:rPr>
                <w:rFonts w:eastAsia="標楷體"/>
                <w:sz w:val="22"/>
              </w:rPr>
              <w:t>出口金額</w:t>
            </w:r>
          </w:p>
        </w:tc>
        <w:tc>
          <w:tcPr>
            <w:tcW w:w="1273" w:type="dxa"/>
            <w:tcBorders>
              <w:bottom w:val="single" w:sz="4" w:space="0" w:color="auto"/>
            </w:tcBorders>
          </w:tcPr>
          <w:p w:rsidR="00E83DB6" w:rsidRPr="00AE0D77" w:rsidRDefault="00E83DB6" w:rsidP="003C2064">
            <w:pPr>
              <w:snapToGrid w:val="0"/>
              <w:spacing w:line="240" w:lineRule="atLeast"/>
              <w:jc w:val="center"/>
              <w:rPr>
                <w:rFonts w:eastAsia="標楷體"/>
                <w:sz w:val="22"/>
              </w:rPr>
            </w:pPr>
            <w:r w:rsidRPr="00AE0D77">
              <w:rPr>
                <w:rFonts w:eastAsia="標楷體"/>
                <w:sz w:val="22"/>
              </w:rPr>
              <w:t>年增率</w:t>
            </w:r>
          </w:p>
        </w:tc>
        <w:tc>
          <w:tcPr>
            <w:tcW w:w="1333" w:type="dxa"/>
            <w:tcBorders>
              <w:bottom w:val="single" w:sz="4" w:space="0" w:color="auto"/>
            </w:tcBorders>
          </w:tcPr>
          <w:p w:rsidR="00E83DB6" w:rsidRPr="00AE0D77" w:rsidRDefault="00E83DB6" w:rsidP="003C2064">
            <w:pPr>
              <w:snapToGrid w:val="0"/>
              <w:spacing w:line="240" w:lineRule="atLeast"/>
              <w:jc w:val="center"/>
              <w:rPr>
                <w:rFonts w:eastAsia="標楷體"/>
                <w:sz w:val="22"/>
              </w:rPr>
            </w:pPr>
            <w:r w:rsidRPr="00AE0D77">
              <w:rPr>
                <w:rFonts w:eastAsia="標楷體"/>
                <w:sz w:val="22"/>
              </w:rPr>
              <w:t>進口金額</w:t>
            </w:r>
          </w:p>
        </w:tc>
        <w:tc>
          <w:tcPr>
            <w:tcW w:w="1108" w:type="dxa"/>
            <w:tcBorders>
              <w:bottom w:val="single" w:sz="4" w:space="0" w:color="auto"/>
              <w:right w:val="nil"/>
            </w:tcBorders>
          </w:tcPr>
          <w:p w:rsidR="00E83DB6" w:rsidRPr="00AE0D77" w:rsidRDefault="00E83DB6" w:rsidP="003C2064">
            <w:pPr>
              <w:snapToGrid w:val="0"/>
              <w:spacing w:line="240" w:lineRule="atLeast"/>
              <w:jc w:val="center"/>
              <w:rPr>
                <w:rFonts w:eastAsia="標楷體"/>
                <w:sz w:val="22"/>
              </w:rPr>
            </w:pPr>
            <w:r w:rsidRPr="00AE0D77">
              <w:rPr>
                <w:rFonts w:eastAsia="標楷體"/>
                <w:sz w:val="22"/>
              </w:rPr>
              <w:t>年增率</w:t>
            </w:r>
          </w:p>
        </w:tc>
      </w:tr>
      <w:tr w:rsidR="00836741" w:rsidRPr="00AE0D77" w:rsidTr="003C2064">
        <w:trPr>
          <w:trHeight w:val="320"/>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2012</w:t>
            </w:r>
            <w:r w:rsidRPr="00AE0D77">
              <w:rPr>
                <w:rFonts w:eastAsia="標楷體"/>
                <w:sz w:val="22"/>
              </w:rPr>
              <w:t>年</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24,925</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1,117.2</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-3.7</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10,227.5</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2.8</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8,712.5</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0.7</w:t>
            </w:r>
          </w:p>
        </w:tc>
      </w:tr>
      <w:tr w:rsidR="00836741" w:rsidRPr="00AE0D77" w:rsidTr="003C2064">
        <w:trPr>
          <w:trHeight w:val="320"/>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2013</w:t>
            </w:r>
            <w:r w:rsidRPr="00AE0D77">
              <w:rPr>
                <w:rFonts w:eastAsia="標楷體"/>
                <w:sz w:val="22"/>
              </w:rPr>
              <w:t>年</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22,773</w:t>
            </w:r>
          </w:p>
        </w:tc>
        <w:tc>
          <w:tcPr>
            <w:tcW w:w="1132" w:type="dxa"/>
            <w:tcBorders>
              <w:top w:val="nil"/>
              <w:left w:val="single" w:sz="4" w:space="0" w:color="auto"/>
              <w:bottom w:val="nil"/>
              <w:right w:val="nil"/>
            </w:tcBorders>
            <w:vAlign w:val="center"/>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1,175.9</w:t>
            </w:r>
          </w:p>
        </w:tc>
        <w:tc>
          <w:tcPr>
            <w:tcW w:w="1132"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5.3</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10,442.7</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2.1</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8,748.2</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0.4</w:t>
            </w:r>
          </w:p>
        </w:tc>
      </w:tr>
      <w:tr w:rsidR="00836741" w:rsidRPr="00AE0D77" w:rsidTr="003C2064">
        <w:trPr>
          <w:trHeight w:val="320"/>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2014</w:t>
            </w:r>
            <w:r w:rsidRPr="00AE0D77">
              <w:rPr>
                <w:rFonts w:eastAsia="標楷體"/>
                <w:sz w:val="22"/>
              </w:rPr>
              <w:t>年</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23,778</w:t>
            </w:r>
          </w:p>
        </w:tc>
        <w:tc>
          <w:tcPr>
            <w:tcW w:w="1132" w:type="dxa"/>
            <w:tcBorders>
              <w:top w:val="nil"/>
              <w:left w:val="single" w:sz="4" w:space="0" w:color="auto"/>
              <w:bottom w:val="nil"/>
              <w:right w:val="nil"/>
            </w:tcBorders>
            <w:vAlign w:val="center"/>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1,195.6</w:t>
            </w:r>
          </w:p>
        </w:tc>
        <w:tc>
          <w:tcPr>
            <w:tcW w:w="1132"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1.7</w:t>
            </w:r>
          </w:p>
        </w:tc>
        <w:tc>
          <w:tcPr>
            <w:tcW w:w="1236" w:type="dxa"/>
            <w:tcBorders>
              <w:top w:val="nil"/>
              <w:left w:val="single" w:sz="4" w:space="0" w:color="auto"/>
              <w:bottom w:val="nil"/>
              <w:right w:val="nil"/>
            </w:tcBorders>
            <w:vAlign w:val="center"/>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szCs w:val="22"/>
              </w:rPr>
              <w:t>10,747.0</w:t>
            </w:r>
          </w:p>
        </w:tc>
        <w:tc>
          <w:tcPr>
            <w:tcW w:w="1273" w:type="dxa"/>
            <w:tcBorders>
              <w:top w:val="nil"/>
              <w:left w:val="nil"/>
              <w:bottom w:val="nil"/>
              <w:right w:val="single" w:sz="4" w:space="0" w:color="auto"/>
            </w:tcBorders>
            <w:vAlign w:val="center"/>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szCs w:val="22"/>
              </w:rPr>
              <w:t>2.9</w:t>
            </w:r>
          </w:p>
        </w:tc>
        <w:tc>
          <w:tcPr>
            <w:tcW w:w="1333" w:type="dxa"/>
            <w:tcBorders>
              <w:top w:val="nil"/>
              <w:left w:val="single" w:sz="4" w:space="0" w:color="auto"/>
              <w:bottom w:val="nil"/>
              <w:right w:val="nil"/>
            </w:tcBorders>
            <w:vAlign w:val="center"/>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szCs w:val="22"/>
              </w:rPr>
              <w:t>9,093.0</w:t>
            </w:r>
          </w:p>
        </w:tc>
        <w:tc>
          <w:tcPr>
            <w:tcW w:w="1108" w:type="dxa"/>
            <w:tcBorders>
              <w:top w:val="nil"/>
              <w:left w:val="nil"/>
              <w:bottom w:val="nil"/>
              <w:right w:val="nil"/>
            </w:tcBorders>
            <w:vAlign w:val="center"/>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szCs w:val="22"/>
              </w:rPr>
              <w:t>3.9</w:t>
            </w:r>
          </w:p>
        </w:tc>
      </w:tr>
      <w:tr w:rsidR="00836741" w:rsidRPr="00AE0D77" w:rsidTr="003C2064">
        <w:trPr>
          <w:trHeight w:val="320"/>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2015</w:t>
            </w:r>
            <w:r w:rsidRPr="00AE0D77">
              <w:rPr>
                <w:rFonts w:eastAsia="標楷體"/>
                <w:sz w:val="22"/>
              </w:rPr>
              <w:t>年</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26,575</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1,262.7</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5.6</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10,047.0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-6.5</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8,299.0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-8.7</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2016</w:t>
            </w:r>
            <w:r w:rsidRPr="00AE0D77">
              <w:rPr>
                <w:rFonts w:eastAsia="標楷體"/>
                <w:sz w:val="22"/>
              </w:rPr>
              <w:t>年</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27,900</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1,260.1</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-0.21</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9,168.0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-8.7</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7,703.0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-7.1</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4</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2,342</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98.8</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2.8</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722.0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-11.5</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616.0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-13.5</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5</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2,573</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88.9</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-0.5</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744.0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-10.6</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634.0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-4.5</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6</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2,531</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152.3</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4.5</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748.0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-7.4</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633.0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-9.2</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7</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2,400</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77.1</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-6.2</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772.9</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-6.5</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620.7</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-15.4</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8</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2,736</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87.6</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0.6</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813.4</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-3.2</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688.9</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1.2</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9</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2,754</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92.1</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-3.7</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820.0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-9.7</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690.0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-3.7</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10</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1,288</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88.1</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0.5</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791.0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-10.4</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633.0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-5.4</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11</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1,775</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98.9</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-4.5</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868.0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0.9</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721.0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1.3</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12</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3,545</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122.2</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0.0</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880.7</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-5.0</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787.4</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4.5</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2017</w:t>
            </w:r>
            <w:r w:rsidRPr="00AE0D77">
              <w:rPr>
                <w:rFonts w:eastAsia="標楷體"/>
                <w:sz w:val="22"/>
              </w:rPr>
              <w:t>年</w:t>
            </w:r>
            <w:r w:rsidRPr="00AE0D77">
              <w:rPr>
                <w:rFonts w:eastAsia="標楷體"/>
                <w:sz w:val="22"/>
              </w:rPr>
              <w:t>1~4</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9,726</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427.3</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-5.7</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2,875.0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5.31</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2,568.0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11.90</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1</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2,010</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120.0</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-14.7</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738.0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3.8</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583.0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6.6</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1,850</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87.0</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3.0</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598.0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5.6</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624.0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28.6</w:t>
            </w:r>
          </w:p>
        </w:tc>
      </w:tr>
      <w:tr w:rsidR="00836741" w:rsidRPr="00AE0D77" w:rsidTr="003C2064">
        <w:trPr>
          <w:trHeight w:val="265"/>
        </w:trPr>
        <w:tc>
          <w:tcPr>
            <w:tcW w:w="1676" w:type="dxa"/>
            <w:tcBorders>
              <w:top w:val="nil"/>
              <w:left w:val="nil"/>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3</w:t>
            </w:r>
            <w:r w:rsidRPr="00AE0D77">
              <w:rPr>
                <w:rFonts w:eastAsia="標楷體"/>
                <w:sz w:val="22"/>
              </w:rPr>
              <w:t>月</w:t>
            </w:r>
          </w:p>
        </w:tc>
        <w:tc>
          <w:tcPr>
            <w:tcW w:w="1009" w:type="dxa"/>
            <w:tcBorders>
              <w:top w:val="nil"/>
              <w:left w:val="single" w:sz="4" w:space="0" w:color="auto"/>
              <w:bottom w:val="nil"/>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2,523</w:t>
            </w:r>
          </w:p>
        </w:tc>
        <w:tc>
          <w:tcPr>
            <w:tcW w:w="1132" w:type="dxa"/>
            <w:tcBorders>
              <w:top w:val="nil"/>
              <w:left w:val="single" w:sz="4" w:space="0" w:color="auto"/>
              <w:bottom w:val="nil"/>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131.1</w:t>
            </w:r>
          </w:p>
        </w:tc>
        <w:tc>
          <w:tcPr>
            <w:tcW w:w="1132" w:type="dxa"/>
            <w:tcBorders>
              <w:top w:val="nil"/>
              <w:left w:val="nil"/>
              <w:bottom w:val="nil"/>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1.6</w:t>
            </w:r>
          </w:p>
        </w:tc>
        <w:tc>
          <w:tcPr>
            <w:tcW w:w="1236" w:type="dxa"/>
            <w:tcBorders>
              <w:top w:val="nil"/>
              <w:left w:val="single" w:sz="4" w:space="0" w:color="auto"/>
              <w:bottom w:val="nil"/>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798.0</w:t>
            </w:r>
          </w:p>
        </w:tc>
        <w:tc>
          <w:tcPr>
            <w:tcW w:w="1273" w:type="dxa"/>
            <w:tcBorders>
              <w:top w:val="nil"/>
              <w:left w:val="nil"/>
              <w:bottom w:val="nil"/>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9.1</w:t>
            </w:r>
          </w:p>
        </w:tc>
        <w:tc>
          <w:tcPr>
            <w:tcW w:w="1333" w:type="dxa"/>
            <w:tcBorders>
              <w:top w:val="nil"/>
              <w:left w:val="single" w:sz="4" w:space="0" w:color="auto"/>
              <w:bottom w:val="nil"/>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715.0</w:t>
            </w:r>
          </w:p>
        </w:tc>
        <w:tc>
          <w:tcPr>
            <w:tcW w:w="1108" w:type="dxa"/>
            <w:tcBorders>
              <w:top w:val="nil"/>
              <w:left w:val="nil"/>
              <w:bottom w:val="nil"/>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10.5</w:t>
            </w:r>
          </w:p>
        </w:tc>
      </w:tr>
      <w:tr w:rsidR="00836741" w:rsidRPr="00AE0D77" w:rsidTr="003C2064">
        <w:trPr>
          <w:trHeight w:val="265"/>
        </w:trPr>
        <w:tc>
          <w:tcPr>
            <w:tcW w:w="1676" w:type="dxa"/>
            <w:tcBorders>
              <w:top w:val="nil"/>
              <w:left w:val="nil"/>
              <w:bottom w:val="single" w:sz="4" w:space="0" w:color="auto"/>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4</w:t>
            </w:r>
            <w:r w:rsidRPr="00AE0D77">
              <w:rPr>
                <w:rFonts w:eastAsia="標楷體"/>
                <w:sz w:val="22"/>
              </w:rPr>
              <w:t>月</w:t>
            </w:r>
          </w:p>
        </w:tc>
        <w:tc>
          <w:tcPr>
            <w:tcW w:w="1009" w:type="dxa"/>
            <w:tcBorders>
              <w:top w:val="nil"/>
              <w:left w:val="single" w:sz="4" w:space="0" w:color="auto"/>
              <w:bottom w:val="single" w:sz="4" w:space="0" w:color="auto"/>
              <w:right w:val="single" w:sz="4" w:space="0" w:color="auto"/>
            </w:tcBorders>
            <w:vAlign w:val="center"/>
          </w:tcPr>
          <w:p w:rsidR="00E83DB6" w:rsidRPr="00AE0D77" w:rsidRDefault="00E83DB6" w:rsidP="003C2064">
            <w:pPr>
              <w:snapToGrid w:val="0"/>
              <w:spacing w:line="280" w:lineRule="exact"/>
              <w:ind w:left="-28"/>
              <w:jc w:val="center"/>
              <w:rPr>
                <w:rFonts w:eastAsia="標楷體"/>
                <w:sz w:val="22"/>
              </w:rPr>
            </w:pPr>
            <w:r w:rsidRPr="00AE0D77">
              <w:rPr>
                <w:rFonts w:eastAsia="標楷體"/>
                <w:sz w:val="22"/>
              </w:rPr>
              <w:t>3,343</w:t>
            </w:r>
          </w:p>
        </w:tc>
        <w:tc>
          <w:tcPr>
            <w:tcW w:w="1132" w:type="dxa"/>
            <w:tcBorders>
              <w:top w:val="nil"/>
              <w:left w:val="single" w:sz="4" w:space="0" w:color="auto"/>
              <w:bottom w:val="single" w:sz="4" w:space="0" w:color="auto"/>
              <w:right w:val="nil"/>
            </w:tcBorders>
          </w:tcPr>
          <w:p w:rsidR="00E83DB6" w:rsidRPr="00AE0D77" w:rsidRDefault="00E83DB6" w:rsidP="003C2064">
            <w:pPr>
              <w:snapToGrid w:val="0"/>
              <w:spacing w:line="280" w:lineRule="exact"/>
              <w:ind w:left="-28" w:rightChars="67" w:right="161"/>
              <w:jc w:val="right"/>
              <w:rPr>
                <w:rFonts w:eastAsia="標楷體"/>
                <w:sz w:val="22"/>
              </w:rPr>
            </w:pPr>
            <w:r w:rsidRPr="00AE0D77">
              <w:rPr>
                <w:rFonts w:eastAsia="標楷體"/>
                <w:sz w:val="22"/>
              </w:rPr>
              <w:t>89.2</w:t>
            </w:r>
          </w:p>
        </w:tc>
        <w:tc>
          <w:tcPr>
            <w:tcW w:w="1132" w:type="dxa"/>
            <w:tcBorders>
              <w:top w:val="nil"/>
              <w:left w:val="nil"/>
              <w:bottom w:val="single" w:sz="4" w:space="0" w:color="auto"/>
              <w:right w:val="single" w:sz="4" w:space="0" w:color="auto"/>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-9.8</w:t>
            </w:r>
          </w:p>
        </w:tc>
        <w:tc>
          <w:tcPr>
            <w:tcW w:w="1236" w:type="dxa"/>
            <w:tcBorders>
              <w:top w:val="nil"/>
              <w:left w:val="single" w:sz="4" w:space="0" w:color="auto"/>
              <w:bottom w:val="single" w:sz="4" w:space="0" w:color="auto"/>
              <w:right w:val="nil"/>
            </w:tcBorders>
          </w:tcPr>
          <w:p w:rsidR="00E83DB6" w:rsidRPr="00AE0D77" w:rsidRDefault="00E83DB6" w:rsidP="003C2064">
            <w:pPr>
              <w:snapToGrid w:val="0"/>
              <w:spacing w:line="280" w:lineRule="exact"/>
              <w:ind w:left="-28" w:rightChars="57" w:right="137"/>
              <w:jc w:val="right"/>
              <w:rPr>
                <w:rFonts w:eastAsia="標楷體"/>
                <w:sz w:val="22"/>
              </w:rPr>
            </w:pPr>
            <w:r w:rsidRPr="00AE0D77">
              <w:rPr>
                <w:rFonts w:eastAsia="標楷體"/>
                <w:sz w:val="22"/>
              </w:rPr>
              <w:t>741.0</w:t>
            </w:r>
          </w:p>
        </w:tc>
        <w:tc>
          <w:tcPr>
            <w:tcW w:w="1273" w:type="dxa"/>
            <w:tcBorders>
              <w:top w:val="nil"/>
              <w:left w:val="nil"/>
              <w:bottom w:val="single" w:sz="4" w:space="0" w:color="auto"/>
              <w:right w:val="single" w:sz="4" w:space="0" w:color="auto"/>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2.6</w:t>
            </w:r>
          </w:p>
        </w:tc>
        <w:tc>
          <w:tcPr>
            <w:tcW w:w="1333" w:type="dxa"/>
            <w:tcBorders>
              <w:top w:val="nil"/>
              <w:left w:val="single" w:sz="4" w:space="0" w:color="auto"/>
              <w:bottom w:val="single" w:sz="4" w:space="0" w:color="auto"/>
              <w:right w:val="nil"/>
            </w:tcBorders>
          </w:tcPr>
          <w:p w:rsidR="00E83DB6" w:rsidRPr="00AE0D77" w:rsidRDefault="00E83DB6" w:rsidP="003C2064">
            <w:pPr>
              <w:snapToGrid w:val="0"/>
              <w:spacing w:line="280" w:lineRule="exact"/>
              <w:ind w:left="-28" w:rightChars="110" w:right="264"/>
              <w:jc w:val="right"/>
              <w:rPr>
                <w:rFonts w:eastAsia="標楷體"/>
                <w:sz w:val="22"/>
              </w:rPr>
            </w:pPr>
            <w:r w:rsidRPr="00AE0D77">
              <w:rPr>
                <w:rFonts w:eastAsia="標楷體"/>
                <w:sz w:val="22"/>
              </w:rPr>
              <w:t>646.0</w:t>
            </w:r>
          </w:p>
        </w:tc>
        <w:tc>
          <w:tcPr>
            <w:tcW w:w="1108" w:type="dxa"/>
            <w:tcBorders>
              <w:top w:val="nil"/>
              <w:left w:val="nil"/>
              <w:bottom w:val="single" w:sz="4" w:space="0" w:color="auto"/>
              <w:right w:val="nil"/>
            </w:tcBorders>
          </w:tcPr>
          <w:p w:rsidR="00E83DB6" w:rsidRPr="00AE0D77" w:rsidRDefault="00E83DB6" w:rsidP="003C2064">
            <w:pPr>
              <w:snapToGrid w:val="0"/>
              <w:spacing w:line="280" w:lineRule="exact"/>
              <w:ind w:rightChars="110" w:right="264"/>
              <w:jc w:val="right"/>
              <w:rPr>
                <w:rFonts w:eastAsia="標楷體"/>
                <w:sz w:val="22"/>
              </w:rPr>
            </w:pPr>
            <w:r w:rsidRPr="00AE0D77">
              <w:rPr>
                <w:rFonts w:eastAsia="標楷體"/>
                <w:sz w:val="22"/>
              </w:rPr>
              <w:t>4.8</w:t>
            </w:r>
          </w:p>
        </w:tc>
      </w:tr>
    </w:tbl>
    <w:p w:rsidR="0023045D" w:rsidRPr="00AE0D77" w:rsidRDefault="0023045D" w:rsidP="0023045D">
      <w:pPr>
        <w:snapToGrid w:val="0"/>
        <w:spacing w:line="200" w:lineRule="atLeast"/>
        <w:ind w:left="280" w:right="-1197" w:hanging="461"/>
        <w:jc w:val="both"/>
        <w:rPr>
          <w:rFonts w:eastAsia="標楷體"/>
          <w:sz w:val="22"/>
        </w:rPr>
      </w:pPr>
      <w:r w:rsidRPr="00AE0D77">
        <w:rPr>
          <w:rFonts w:eastAsia="標楷體"/>
          <w:sz w:val="22"/>
        </w:rPr>
        <w:t>註：</w:t>
      </w:r>
      <w:r w:rsidRPr="00AE0D77">
        <w:rPr>
          <w:rFonts w:eastAsia="標楷體"/>
          <w:sz w:val="22"/>
        </w:rPr>
        <w:t>2007</w:t>
      </w:r>
      <w:r w:rsidRPr="00AE0D77">
        <w:rPr>
          <w:rFonts w:eastAsia="標楷體"/>
          <w:sz w:val="22"/>
        </w:rPr>
        <w:t>年起實際利用外資為非金融領域金額。</w:t>
      </w:r>
    </w:p>
    <w:p w:rsidR="0023045D" w:rsidRPr="00AE0D77" w:rsidRDefault="0023045D" w:rsidP="0023045D">
      <w:pPr>
        <w:snapToGrid w:val="0"/>
        <w:spacing w:line="200" w:lineRule="atLeast"/>
        <w:ind w:left="280" w:right="-1197" w:hanging="461"/>
        <w:jc w:val="both"/>
        <w:rPr>
          <w:rFonts w:eastAsia="標楷體"/>
          <w:sz w:val="22"/>
        </w:rPr>
      </w:pPr>
      <w:r w:rsidRPr="00AE0D77">
        <w:rPr>
          <w:rFonts w:eastAsia="標楷體"/>
          <w:sz w:val="22"/>
        </w:rPr>
        <w:t>資料來源：中國大陸商務部及海關總署。</w:t>
      </w:r>
      <w:r w:rsidRPr="00AE0D77">
        <w:rPr>
          <w:rFonts w:eastAsia="標楷體"/>
        </w:rPr>
        <w:br w:type="page"/>
      </w:r>
    </w:p>
    <w:p w:rsidR="00095F07" w:rsidRPr="00AE0D77" w:rsidRDefault="00E83DB6" w:rsidP="00095F07">
      <w:pPr>
        <w:pStyle w:val="k3a"/>
        <w:spacing w:beforeLines="0" w:before="120"/>
        <w:ind w:leftChars="0" w:left="0" w:firstLineChars="0" w:firstLine="0"/>
        <w:outlineLvl w:val="2"/>
        <w:rPr>
          <w:b/>
          <w:bCs/>
          <w:sz w:val="32"/>
        </w:rPr>
      </w:pPr>
      <w:bookmarkStart w:id="153" w:name="_Toc486347641"/>
      <w:r w:rsidRPr="00AE0D77">
        <w:rPr>
          <w:b/>
          <w:bCs/>
          <w:noProof/>
          <w:sz w:val="20"/>
        </w:rPr>
        <w:drawing>
          <wp:anchor distT="0" distB="0" distL="114300" distR="114300" simplePos="0" relativeHeight="252461568" behindDoc="1" locked="0" layoutInCell="1" allowOverlap="1" wp14:anchorId="02F110E9" wp14:editId="75226307">
            <wp:simplePos x="0" y="0"/>
            <wp:positionH relativeFrom="column">
              <wp:posOffset>2259965</wp:posOffset>
            </wp:positionH>
            <wp:positionV relativeFrom="paragraph">
              <wp:posOffset>-49530</wp:posOffset>
            </wp:positionV>
            <wp:extent cx="3981450" cy="2698750"/>
            <wp:effectExtent l="0" t="0" r="0" b="6350"/>
            <wp:wrapSquare wrapText="bothSides"/>
            <wp:docPr id="2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095F07" w:rsidRPr="00AE0D77">
        <w:rPr>
          <w:b/>
          <w:bCs/>
          <w:sz w:val="32"/>
        </w:rPr>
        <w:t>（三）對外貿易</w:t>
      </w:r>
      <w:bookmarkEnd w:id="152"/>
      <w:bookmarkEnd w:id="153"/>
    </w:p>
    <w:p w:rsidR="00E83DB6" w:rsidRPr="00AE0D77" w:rsidRDefault="0023045D" w:rsidP="00E83DB6">
      <w:pPr>
        <w:snapToGrid w:val="0"/>
        <w:spacing w:before="120"/>
        <w:ind w:leftChars="150" w:left="640" w:hangingChars="100" w:hanging="280"/>
        <w:jc w:val="both"/>
        <w:rPr>
          <w:rFonts w:eastAsia="標楷體"/>
          <w:sz w:val="28"/>
          <w:szCs w:val="16"/>
        </w:rPr>
      </w:pPr>
      <w:bookmarkStart w:id="154" w:name="_Toc368324035"/>
      <w:bookmarkStart w:id="155" w:name="_Toc415126225"/>
      <w:bookmarkStart w:id="156" w:name="_Toc391906421"/>
      <w:bookmarkStart w:id="157" w:name="_Toc417918571"/>
      <w:bookmarkStart w:id="158" w:name="_Toc337122140"/>
      <w:bookmarkEnd w:id="141"/>
      <w:bookmarkEnd w:id="142"/>
      <w:bookmarkEnd w:id="143"/>
      <w:bookmarkEnd w:id="148"/>
      <w:bookmarkEnd w:id="149"/>
      <w:bookmarkEnd w:id="150"/>
      <w:r w:rsidRPr="00AE0D77">
        <w:rPr>
          <w:rFonts w:eastAsia="標楷體"/>
          <w:sz w:val="28"/>
          <w:szCs w:val="16"/>
        </w:rPr>
        <w:t>－</w:t>
      </w:r>
      <w:r w:rsidR="00E83DB6" w:rsidRPr="00AE0D77">
        <w:rPr>
          <w:rFonts w:eastAsia="標楷體"/>
          <w:sz w:val="28"/>
          <w:szCs w:val="16"/>
        </w:rPr>
        <w:t>2017</w:t>
      </w:r>
      <w:r w:rsidR="00E83DB6" w:rsidRPr="00AE0D77">
        <w:rPr>
          <w:rFonts w:eastAsia="標楷體"/>
          <w:sz w:val="28"/>
          <w:szCs w:val="16"/>
        </w:rPr>
        <w:t>年</w:t>
      </w:r>
      <w:r w:rsidR="00E83DB6" w:rsidRPr="00AE0D77">
        <w:rPr>
          <w:rFonts w:eastAsia="標楷體"/>
          <w:sz w:val="28"/>
          <w:szCs w:val="16"/>
        </w:rPr>
        <w:t>5</w:t>
      </w:r>
      <w:r w:rsidR="00E83DB6" w:rsidRPr="00AE0D77">
        <w:rPr>
          <w:rFonts w:eastAsia="標楷體"/>
          <w:sz w:val="28"/>
          <w:szCs w:val="16"/>
        </w:rPr>
        <w:t>月中國大陸進出口總值為</w:t>
      </w:r>
      <w:r w:rsidR="00E83DB6" w:rsidRPr="00AE0D77">
        <w:rPr>
          <w:rFonts w:eastAsia="標楷體"/>
          <w:sz w:val="28"/>
          <w:szCs w:val="16"/>
        </w:rPr>
        <w:t>3,412.5</w:t>
      </w:r>
      <w:r w:rsidR="00E83DB6" w:rsidRPr="00AE0D77">
        <w:rPr>
          <w:rFonts w:eastAsia="標楷體"/>
          <w:sz w:val="28"/>
          <w:szCs w:val="16"/>
        </w:rPr>
        <w:t>億美元，較上年</w:t>
      </w:r>
      <w:r w:rsidR="00E83DB6" w:rsidRPr="00AE0D77">
        <w:rPr>
          <w:rFonts w:eastAsia="標楷體"/>
          <w:sz w:val="28"/>
          <w:szCs w:val="28"/>
        </w:rPr>
        <w:t>同期</w:t>
      </w:r>
      <w:r w:rsidR="00E83DB6" w:rsidRPr="00AE0D77">
        <w:rPr>
          <w:rFonts w:eastAsia="標楷體"/>
          <w:sz w:val="28"/>
          <w:szCs w:val="16"/>
        </w:rPr>
        <w:t>成長</w:t>
      </w:r>
      <w:r w:rsidR="00E83DB6" w:rsidRPr="00AE0D77">
        <w:rPr>
          <w:rFonts w:eastAsia="標楷體"/>
          <w:sz w:val="28"/>
          <w:szCs w:val="16"/>
        </w:rPr>
        <w:t>11.3%</w:t>
      </w:r>
      <w:r w:rsidR="00E83DB6" w:rsidRPr="00AE0D77">
        <w:rPr>
          <w:rFonts w:eastAsia="標楷體"/>
          <w:sz w:val="28"/>
          <w:szCs w:val="16"/>
        </w:rPr>
        <w:t>。其中，出口額為</w:t>
      </w:r>
      <w:r w:rsidR="00E83DB6" w:rsidRPr="00AE0D77">
        <w:rPr>
          <w:rFonts w:eastAsia="標楷體"/>
          <w:sz w:val="28"/>
          <w:szCs w:val="16"/>
        </w:rPr>
        <w:t>1,910.3</w:t>
      </w:r>
      <w:r w:rsidR="00E83DB6" w:rsidRPr="00AE0D77">
        <w:rPr>
          <w:rFonts w:eastAsia="標楷體"/>
          <w:sz w:val="28"/>
          <w:szCs w:val="16"/>
        </w:rPr>
        <w:t>億美元，成長</w:t>
      </w:r>
      <w:r w:rsidR="00E83DB6" w:rsidRPr="00AE0D77">
        <w:rPr>
          <w:rFonts w:eastAsia="標楷體"/>
          <w:sz w:val="28"/>
          <w:szCs w:val="16"/>
        </w:rPr>
        <w:t>8.7%</w:t>
      </w:r>
      <w:r w:rsidR="00E83DB6" w:rsidRPr="00AE0D77">
        <w:rPr>
          <w:rFonts w:eastAsia="標楷體"/>
          <w:sz w:val="28"/>
          <w:szCs w:val="16"/>
        </w:rPr>
        <w:t>；進口額為</w:t>
      </w:r>
      <w:r w:rsidR="00E83DB6" w:rsidRPr="00AE0D77">
        <w:rPr>
          <w:rFonts w:eastAsia="標楷體"/>
          <w:sz w:val="28"/>
          <w:szCs w:val="16"/>
        </w:rPr>
        <w:t>1,502.2</w:t>
      </w:r>
      <w:r w:rsidR="00E83DB6" w:rsidRPr="00AE0D77">
        <w:rPr>
          <w:rFonts w:eastAsia="標楷體"/>
          <w:sz w:val="28"/>
          <w:szCs w:val="16"/>
        </w:rPr>
        <w:t>億美元，增加</w:t>
      </w:r>
      <w:r w:rsidR="00E83DB6" w:rsidRPr="00AE0D77">
        <w:rPr>
          <w:rFonts w:eastAsia="標楷體"/>
          <w:sz w:val="28"/>
          <w:szCs w:val="16"/>
        </w:rPr>
        <w:t>14.8%</w:t>
      </w:r>
      <w:r w:rsidR="00E83DB6" w:rsidRPr="00AE0D77">
        <w:rPr>
          <w:rFonts w:eastAsia="標楷體"/>
          <w:sz w:val="28"/>
          <w:szCs w:val="16"/>
        </w:rPr>
        <w:t>，出超</w:t>
      </w:r>
      <w:r w:rsidR="00E83DB6" w:rsidRPr="00AE0D77">
        <w:rPr>
          <w:rFonts w:eastAsia="標楷體"/>
          <w:sz w:val="28"/>
          <w:szCs w:val="16"/>
        </w:rPr>
        <w:t>408.1</w:t>
      </w:r>
      <w:r w:rsidR="00E83DB6" w:rsidRPr="00AE0D77">
        <w:rPr>
          <w:rFonts w:eastAsia="標楷體"/>
          <w:sz w:val="28"/>
          <w:szCs w:val="16"/>
        </w:rPr>
        <w:t>億美元。</w:t>
      </w:r>
    </w:p>
    <w:p w:rsidR="0023045D" w:rsidRPr="00AE0D77" w:rsidRDefault="00E83DB6" w:rsidP="00E83DB6">
      <w:pPr>
        <w:snapToGrid w:val="0"/>
        <w:spacing w:before="120"/>
        <w:ind w:leftChars="150" w:left="640" w:hangingChars="100" w:hanging="280"/>
        <w:jc w:val="both"/>
        <w:rPr>
          <w:rFonts w:eastAsia="標楷體"/>
          <w:sz w:val="28"/>
          <w:szCs w:val="16"/>
        </w:rPr>
      </w:pPr>
      <w:r w:rsidRPr="00AE0D77">
        <w:rPr>
          <w:rFonts w:eastAsia="標楷體"/>
          <w:sz w:val="28"/>
          <w:szCs w:val="16"/>
        </w:rPr>
        <w:t>－</w:t>
      </w:r>
      <w:r w:rsidRPr="00AE0D77">
        <w:rPr>
          <w:rFonts w:eastAsia="標楷體"/>
          <w:sz w:val="28"/>
          <w:szCs w:val="16"/>
        </w:rPr>
        <w:t>2017</w:t>
      </w:r>
      <w:r w:rsidRPr="00AE0D77">
        <w:rPr>
          <w:rFonts w:eastAsia="標楷體"/>
          <w:sz w:val="28"/>
          <w:szCs w:val="16"/>
        </w:rPr>
        <w:t>年</w:t>
      </w:r>
      <w:r w:rsidRPr="00AE0D77">
        <w:rPr>
          <w:rFonts w:eastAsia="標楷體"/>
          <w:sz w:val="28"/>
          <w:szCs w:val="16"/>
        </w:rPr>
        <w:t>5</w:t>
      </w:r>
      <w:r w:rsidRPr="00AE0D77">
        <w:rPr>
          <w:rFonts w:eastAsia="標楷體"/>
          <w:sz w:val="28"/>
          <w:szCs w:val="16"/>
        </w:rPr>
        <w:t>月與歐盟、美國、東協及日本之貿易總額，分別為</w:t>
      </w:r>
      <w:r w:rsidRPr="00AE0D77">
        <w:rPr>
          <w:rFonts w:eastAsia="標楷體"/>
          <w:sz w:val="28"/>
          <w:szCs w:val="16"/>
        </w:rPr>
        <w:t>512.1</w:t>
      </w:r>
      <w:r w:rsidRPr="00AE0D77">
        <w:rPr>
          <w:rFonts w:eastAsia="標楷體"/>
          <w:sz w:val="28"/>
          <w:szCs w:val="16"/>
        </w:rPr>
        <w:t>億美元、</w:t>
      </w:r>
      <w:r w:rsidRPr="00AE0D77">
        <w:rPr>
          <w:rFonts w:eastAsia="標楷體"/>
          <w:sz w:val="28"/>
          <w:szCs w:val="16"/>
        </w:rPr>
        <w:t>484.4</w:t>
      </w:r>
      <w:r w:rsidRPr="00AE0D77">
        <w:rPr>
          <w:rFonts w:eastAsia="標楷體"/>
          <w:sz w:val="28"/>
          <w:szCs w:val="16"/>
        </w:rPr>
        <w:t>億美元、</w:t>
      </w:r>
      <w:r w:rsidRPr="00AE0D77">
        <w:rPr>
          <w:rFonts w:eastAsia="標楷體"/>
          <w:sz w:val="28"/>
          <w:szCs w:val="16"/>
        </w:rPr>
        <w:t>426.2</w:t>
      </w:r>
      <w:r w:rsidRPr="00AE0D77">
        <w:rPr>
          <w:rFonts w:eastAsia="標楷體"/>
          <w:sz w:val="28"/>
          <w:szCs w:val="16"/>
        </w:rPr>
        <w:t>億美元及</w:t>
      </w:r>
      <w:r w:rsidRPr="00AE0D77">
        <w:rPr>
          <w:rFonts w:eastAsia="標楷體"/>
          <w:sz w:val="28"/>
          <w:szCs w:val="16"/>
        </w:rPr>
        <w:t>235.7</w:t>
      </w:r>
      <w:r w:rsidRPr="00AE0D77">
        <w:rPr>
          <w:rFonts w:eastAsia="標楷體"/>
          <w:sz w:val="28"/>
          <w:szCs w:val="16"/>
        </w:rPr>
        <w:t>億美元，較上月分別增加</w:t>
      </w:r>
      <w:r w:rsidRPr="00AE0D77">
        <w:rPr>
          <w:rFonts w:eastAsia="標楷體"/>
          <w:sz w:val="28"/>
          <w:szCs w:val="16"/>
        </w:rPr>
        <w:t>10.2%</w:t>
      </w:r>
      <w:r w:rsidRPr="00AE0D77">
        <w:rPr>
          <w:rFonts w:eastAsia="標楷體"/>
          <w:sz w:val="28"/>
          <w:szCs w:val="16"/>
        </w:rPr>
        <w:t>、</w:t>
      </w:r>
      <w:r w:rsidRPr="00AE0D77">
        <w:rPr>
          <w:rFonts w:eastAsia="標楷體"/>
          <w:sz w:val="28"/>
          <w:szCs w:val="16"/>
        </w:rPr>
        <w:t>8.9%</w:t>
      </w:r>
      <w:r w:rsidRPr="00AE0D77">
        <w:rPr>
          <w:rFonts w:eastAsia="標楷體"/>
          <w:sz w:val="28"/>
          <w:szCs w:val="16"/>
        </w:rPr>
        <w:t>、</w:t>
      </w:r>
      <w:r w:rsidRPr="00AE0D77">
        <w:rPr>
          <w:rFonts w:eastAsia="標楷體"/>
          <w:sz w:val="28"/>
          <w:szCs w:val="16"/>
        </w:rPr>
        <w:t>3.3%</w:t>
      </w:r>
      <w:r w:rsidRPr="00AE0D77">
        <w:rPr>
          <w:rFonts w:eastAsia="標楷體"/>
          <w:sz w:val="28"/>
          <w:szCs w:val="16"/>
        </w:rPr>
        <w:t>，以及減少</w:t>
      </w:r>
      <w:r w:rsidRPr="00AE0D77">
        <w:rPr>
          <w:rFonts w:eastAsia="標楷體"/>
          <w:sz w:val="28"/>
          <w:szCs w:val="16"/>
        </w:rPr>
        <w:t>3.0%</w:t>
      </w:r>
      <w:r w:rsidRPr="00AE0D77">
        <w:rPr>
          <w:rFonts w:eastAsia="標楷體"/>
          <w:sz w:val="28"/>
          <w:szCs w:val="16"/>
        </w:rPr>
        <w:t>。</w:t>
      </w:r>
    </w:p>
    <w:p w:rsidR="0023045D" w:rsidRPr="00AE0D77" w:rsidRDefault="0023045D" w:rsidP="0023045D">
      <w:pPr>
        <w:pStyle w:val="a9"/>
        <w:widowControl/>
        <w:snapToGrid w:val="0"/>
        <w:spacing w:line="0" w:lineRule="atLeast"/>
        <w:ind w:leftChars="140" w:left="616" w:right="-851" w:hangingChars="100" w:hanging="280"/>
        <w:jc w:val="center"/>
        <w:rPr>
          <w:rFonts w:ascii="Times New Roman" w:eastAsia="標楷體"/>
        </w:rPr>
      </w:pPr>
      <w:r w:rsidRPr="00AE0D77">
        <w:rPr>
          <w:rFonts w:ascii="Times New Roman" w:eastAsia="標楷體"/>
          <w:b/>
          <w:bCs/>
          <w:sz w:val="28"/>
        </w:rPr>
        <w:t xml:space="preserve">          </w:t>
      </w:r>
      <w:r w:rsidRPr="00AE0D77">
        <w:rPr>
          <w:rFonts w:ascii="Times New Roman" w:eastAsia="標楷體"/>
          <w:b/>
          <w:bCs/>
          <w:sz w:val="28"/>
        </w:rPr>
        <w:t>表</w:t>
      </w:r>
      <w:r w:rsidRPr="00AE0D77">
        <w:rPr>
          <w:rFonts w:ascii="Times New Roman" w:eastAsia="標楷體"/>
          <w:b/>
          <w:bCs/>
          <w:sz w:val="28"/>
        </w:rPr>
        <w:t xml:space="preserve">3-3   </w:t>
      </w:r>
      <w:r w:rsidRPr="00AE0D77">
        <w:rPr>
          <w:rFonts w:ascii="Times New Roman" w:eastAsia="標楷體"/>
          <w:b/>
          <w:bCs/>
          <w:sz w:val="28"/>
        </w:rPr>
        <w:t>中國大陸進出口貿易統計</w:t>
      </w:r>
      <w:r w:rsidRPr="00AE0D77">
        <w:rPr>
          <w:rFonts w:ascii="Times New Roman" w:eastAsia="標楷體"/>
          <w:b/>
          <w:bCs/>
          <w:sz w:val="28"/>
        </w:rPr>
        <w:t xml:space="preserve">     </w:t>
      </w:r>
      <w:r w:rsidRPr="00AE0D77">
        <w:rPr>
          <w:rFonts w:ascii="Times New Roman" w:eastAsia="標楷體"/>
        </w:rPr>
        <w:t>單位：億美元；</w:t>
      </w:r>
      <w:r w:rsidRPr="00AE0D77">
        <w:rPr>
          <w:rFonts w:ascii="Times New Roman" w:eastAsia="標楷體"/>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836741" w:rsidRPr="00AE0D77" w:rsidTr="003C2064">
        <w:trPr>
          <w:cantSplit/>
          <w:trHeight w:val="315"/>
        </w:trPr>
        <w:tc>
          <w:tcPr>
            <w:tcW w:w="1538" w:type="dxa"/>
            <w:gridSpan w:val="2"/>
            <w:vMerge w:val="restart"/>
            <w:tcBorders>
              <w:left w:val="nil"/>
            </w:tcBorders>
            <w:vAlign w:val="center"/>
          </w:tcPr>
          <w:p w:rsidR="00E83DB6" w:rsidRPr="00AE0D77" w:rsidRDefault="00E83DB6" w:rsidP="003C2064">
            <w:pPr>
              <w:snapToGrid w:val="0"/>
              <w:spacing w:line="240" w:lineRule="exact"/>
              <w:jc w:val="center"/>
              <w:rPr>
                <w:rFonts w:eastAsia="標楷體"/>
              </w:rPr>
            </w:pPr>
            <w:r w:rsidRPr="00AE0D77">
              <w:rPr>
                <w:rFonts w:eastAsia="標楷體"/>
              </w:rPr>
              <w:t>年（月）</w:t>
            </w:r>
          </w:p>
        </w:tc>
        <w:tc>
          <w:tcPr>
            <w:tcW w:w="2003" w:type="dxa"/>
            <w:gridSpan w:val="2"/>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貿易總額</w:t>
            </w:r>
          </w:p>
        </w:tc>
        <w:tc>
          <w:tcPr>
            <w:tcW w:w="1805" w:type="dxa"/>
            <w:gridSpan w:val="2"/>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出口總額</w:t>
            </w:r>
          </w:p>
        </w:tc>
        <w:tc>
          <w:tcPr>
            <w:tcW w:w="1862" w:type="dxa"/>
            <w:gridSpan w:val="2"/>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進口總額</w:t>
            </w:r>
          </w:p>
        </w:tc>
        <w:tc>
          <w:tcPr>
            <w:tcW w:w="1313" w:type="dxa"/>
            <w:tcBorders>
              <w:bottom w:val="single" w:sz="4" w:space="0" w:color="auto"/>
              <w:right w:val="nil"/>
            </w:tcBorders>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出入超</w:t>
            </w:r>
          </w:p>
        </w:tc>
      </w:tr>
      <w:tr w:rsidR="00836741" w:rsidRPr="00AE0D77" w:rsidTr="003C2064">
        <w:trPr>
          <w:cantSplit/>
          <w:trHeight w:val="146"/>
        </w:trPr>
        <w:tc>
          <w:tcPr>
            <w:tcW w:w="1538" w:type="dxa"/>
            <w:gridSpan w:val="2"/>
            <w:vMerge/>
            <w:tcBorders>
              <w:left w:val="nil"/>
              <w:bottom w:val="single" w:sz="4" w:space="0" w:color="auto"/>
            </w:tcBorders>
          </w:tcPr>
          <w:p w:rsidR="00E83DB6" w:rsidRPr="00AE0D77" w:rsidRDefault="00E83DB6" w:rsidP="003C2064">
            <w:pPr>
              <w:snapToGrid w:val="0"/>
              <w:spacing w:line="240" w:lineRule="exact"/>
              <w:jc w:val="center"/>
              <w:rPr>
                <w:rFonts w:eastAsia="標楷體"/>
              </w:rPr>
            </w:pPr>
          </w:p>
        </w:tc>
        <w:tc>
          <w:tcPr>
            <w:tcW w:w="1219" w:type="dxa"/>
            <w:tcBorders>
              <w:bottom w:val="single" w:sz="4" w:space="0" w:color="auto"/>
            </w:tcBorders>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金額</w:t>
            </w:r>
          </w:p>
        </w:tc>
        <w:tc>
          <w:tcPr>
            <w:tcW w:w="784" w:type="dxa"/>
            <w:tcBorders>
              <w:bottom w:val="single" w:sz="4" w:space="0" w:color="auto"/>
            </w:tcBorders>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年增率</w:t>
            </w:r>
          </w:p>
        </w:tc>
        <w:tc>
          <w:tcPr>
            <w:tcW w:w="966" w:type="dxa"/>
            <w:tcBorders>
              <w:bottom w:val="single" w:sz="4" w:space="0" w:color="auto"/>
            </w:tcBorders>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金額</w:t>
            </w:r>
          </w:p>
        </w:tc>
        <w:tc>
          <w:tcPr>
            <w:tcW w:w="839" w:type="dxa"/>
            <w:tcBorders>
              <w:bottom w:val="single" w:sz="4" w:space="0" w:color="auto"/>
            </w:tcBorders>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年增率</w:t>
            </w:r>
          </w:p>
        </w:tc>
        <w:tc>
          <w:tcPr>
            <w:tcW w:w="966" w:type="dxa"/>
            <w:tcBorders>
              <w:bottom w:val="single" w:sz="4" w:space="0" w:color="auto"/>
            </w:tcBorders>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金額</w:t>
            </w:r>
          </w:p>
        </w:tc>
        <w:tc>
          <w:tcPr>
            <w:tcW w:w="896" w:type="dxa"/>
            <w:tcBorders>
              <w:bottom w:val="single" w:sz="4" w:space="0" w:color="auto"/>
            </w:tcBorders>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年增率</w:t>
            </w:r>
          </w:p>
        </w:tc>
        <w:tc>
          <w:tcPr>
            <w:tcW w:w="1313" w:type="dxa"/>
            <w:tcBorders>
              <w:bottom w:val="single" w:sz="4" w:space="0" w:color="auto"/>
              <w:right w:val="nil"/>
            </w:tcBorders>
            <w:vAlign w:val="center"/>
          </w:tcPr>
          <w:p w:rsidR="00E83DB6" w:rsidRPr="00AE0D77" w:rsidRDefault="00E83DB6" w:rsidP="003C2064">
            <w:pPr>
              <w:snapToGrid w:val="0"/>
              <w:spacing w:line="240" w:lineRule="exact"/>
              <w:ind w:left="-113" w:right="-113"/>
              <w:jc w:val="center"/>
              <w:rPr>
                <w:rFonts w:eastAsia="標楷體"/>
              </w:rPr>
            </w:pPr>
            <w:r w:rsidRPr="00AE0D77">
              <w:rPr>
                <w:rFonts w:eastAsia="標楷體"/>
              </w:rPr>
              <w:t>金額</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2012</w:t>
            </w:r>
            <w:r w:rsidRPr="00AE0D77">
              <w:rPr>
                <w:rFonts w:eastAsia="標楷體"/>
                <w:sz w:val="22"/>
              </w:rPr>
              <w:t>年</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38,667.6</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6.2</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20,489.4</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7.9</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18,178.3</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4.3</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2,311.1</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2013</w:t>
            </w:r>
            <w:r w:rsidRPr="00AE0D77">
              <w:rPr>
                <w:rFonts w:eastAsia="標楷體"/>
                <w:sz w:val="22"/>
              </w:rPr>
              <w:t>年</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41,603.3</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7.6</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22,100.4</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7.9</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19,502.9</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7.3</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2,597.5</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2014</w:t>
            </w:r>
            <w:r w:rsidRPr="00AE0D77">
              <w:rPr>
                <w:rFonts w:eastAsia="標楷體"/>
                <w:sz w:val="22"/>
              </w:rPr>
              <w:t>年</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43,030.4</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3.4</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23,427.5</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6.1</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19,602.9</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Chars="100" w:right="240"/>
              <w:jc w:val="right"/>
              <w:rPr>
                <w:rFonts w:eastAsia="標楷體"/>
                <w:sz w:val="22"/>
                <w:szCs w:val="22"/>
              </w:rPr>
            </w:pPr>
            <w:r w:rsidRPr="00AE0D77">
              <w:rPr>
                <w:rFonts w:eastAsia="標楷體"/>
                <w:sz w:val="22"/>
                <w:szCs w:val="22"/>
              </w:rPr>
              <w:t>0.4</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3,824.6</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2015</w:t>
            </w:r>
            <w:r w:rsidRPr="00AE0D77">
              <w:rPr>
                <w:rFonts w:eastAsia="標楷體"/>
                <w:sz w:val="22"/>
              </w:rPr>
              <w:t>年</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39,586.4</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-8.0</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22,765.7</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-2.8</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16,820.7</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-14.1</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5,945.0</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2016</w:t>
            </w:r>
            <w:r w:rsidRPr="00AE0D77">
              <w:rPr>
                <w:rFonts w:eastAsia="標楷體"/>
                <w:sz w:val="22"/>
              </w:rPr>
              <w:t>年</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36,849.2</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-6.8</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20,974.4</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-7.7</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15,874.8</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-5.5</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5,099.6</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5</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3,092.9</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-3.5</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1,780.4</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-5.7</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1,312.6</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-0.3</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467.8</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6</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3,104.7</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-7.0</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1,788.3</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-5.7</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1,316.4</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-8.8</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471.9</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7</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3,142.7</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-8.8</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1,821.5</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-5.7</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1,321.2</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-12.7</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500.3</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8</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3,287.0</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-1.2</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1,902.7</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-3.0</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1,384.3</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1.4</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518.3</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9</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3,270.2</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-6.6</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1,845.0</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-10.0</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1,425.2</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-1.9</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419.8</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10</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3,073.0</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-4.9</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1,781.8</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-7.3</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1,291.2</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-1.4</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490.6</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11</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3,490.0</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2.9</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1,968.1</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0.1</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1,522.0</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6.7</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446.1</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12</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3,780.2</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-2.2</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2,094.2</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-6.1</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1,686.0</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3.1</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408.2</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2017</w:t>
            </w:r>
            <w:r w:rsidRPr="00AE0D77">
              <w:rPr>
                <w:rFonts w:eastAsia="標楷體"/>
                <w:sz w:val="22"/>
              </w:rPr>
              <w:t>年</w:t>
            </w:r>
            <w:r w:rsidRPr="00AE0D77">
              <w:rPr>
                <w:rFonts w:eastAsia="標楷體"/>
                <w:sz w:val="22"/>
              </w:rPr>
              <w:t>1~5</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15,629.3</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lang w:eastAsia="zh-CN"/>
              </w:rPr>
            </w:pPr>
            <w:r w:rsidRPr="00AE0D77">
              <w:rPr>
                <w:rFonts w:eastAsia="標楷體"/>
                <w:sz w:val="22"/>
                <w:szCs w:val="22"/>
              </w:rPr>
              <w:t>13.0</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lang w:eastAsia="zh-CN"/>
              </w:rPr>
            </w:pPr>
            <w:r w:rsidRPr="00AE0D77">
              <w:rPr>
                <w:rFonts w:eastAsia="標楷體"/>
                <w:sz w:val="22"/>
                <w:szCs w:val="22"/>
              </w:rPr>
              <w:t>8,533.5</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lang w:eastAsia="zh-CN"/>
              </w:rPr>
              <w:t>8.</w:t>
            </w:r>
            <w:r w:rsidRPr="00AE0D77">
              <w:rPr>
                <w:rFonts w:eastAsia="標楷體"/>
                <w:sz w:val="22"/>
                <w:szCs w:val="22"/>
              </w:rPr>
              <w:t>2</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lang w:eastAsia="zh-CN"/>
              </w:rPr>
            </w:pPr>
            <w:r w:rsidRPr="00AE0D77">
              <w:rPr>
                <w:rFonts w:eastAsia="標楷體"/>
                <w:sz w:val="22"/>
                <w:szCs w:val="22"/>
              </w:rPr>
              <w:t>7,095.8</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rPr>
            </w:pPr>
            <w:r w:rsidRPr="00AE0D77">
              <w:rPr>
                <w:rFonts w:eastAsia="標楷體"/>
                <w:sz w:val="22"/>
                <w:szCs w:val="22"/>
              </w:rPr>
              <w:t>19.5</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1,437.7</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1</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3,1</w:t>
            </w:r>
            <w:r w:rsidRPr="00AE0D77">
              <w:rPr>
                <w:rFonts w:eastAsia="標楷體"/>
                <w:sz w:val="22"/>
                <w:szCs w:val="22"/>
                <w:lang w:eastAsia="zh-CN"/>
              </w:rPr>
              <w:t>3</w:t>
            </w:r>
            <w:r w:rsidRPr="00AE0D77">
              <w:rPr>
                <w:rFonts w:eastAsia="標楷體"/>
                <w:sz w:val="22"/>
                <w:szCs w:val="22"/>
              </w:rPr>
              <w:t>7.5</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lang w:eastAsia="zh-CN"/>
              </w:rPr>
            </w:pPr>
            <w:r w:rsidRPr="00AE0D77">
              <w:rPr>
                <w:rFonts w:eastAsia="標楷體"/>
                <w:sz w:val="22"/>
                <w:szCs w:val="22"/>
              </w:rPr>
              <w:t>11.</w:t>
            </w:r>
            <w:r w:rsidRPr="00AE0D77">
              <w:rPr>
                <w:rFonts w:eastAsia="標楷體"/>
                <w:sz w:val="22"/>
                <w:szCs w:val="22"/>
                <w:lang w:eastAsia="zh-CN"/>
              </w:rPr>
              <w:t>3</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1,821.9</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lang w:eastAsia="zh-CN"/>
              </w:rPr>
            </w:pPr>
            <w:r w:rsidRPr="00AE0D77">
              <w:rPr>
                <w:rFonts w:eastAsia="標楷體"/>
                <w:sz w:val="22"/>
                <w:szCs w:val="22"/>
              </w:rPr>
              <w:t>7.5</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lang w:eastAsia="zh-CN"/>
              </w:rPr>
            </w:pPr>
            <w:r w:rsidRPr="00AE0D77">
              <w:rPr>
                <w:rFonts w:eastAsia="標楷體"/>
                <w:sz w:val="22"/>
                <w:szCs w:val="22"/>
              </w:rPr>
              <w:t>1,315.7</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220"/>
              <w:jc w:val="right"/>
              <w:rPr>
                <w:rFonts w:eastAsia="標楷體"/>
                <w:sz w:val="22"/>
                <w:szCs w:val="22"/>
                <w:lang w:eastAsia="zh-CN"/>
              </w:rPr>
            </w:pPr>
            <w:r w:rsidRPr="00AE0D77">
              <w:rPr>
                <w:rFonts w:eastAsia="標楷體"/>
                <w:sz w:val="22"/>
                <w:szCs w:val="22"/>
              </w:rPr>
              <w:t>16.9</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5</w:t>
            </w:r>
            <w:r w:rsidRPr="00AE0D77">
              <w:rPr>
                <w:rFonts w:eastAsia="標楷體"/>
                <w:sz w:val="22"/>
                <w:szCs w:val="22"/>
                <w:lang w:eastAsia="zh-CN"/>
              </w:rPr>
              <w:t>0</w:t>
            </w:r>
            <w:r w:rsidRPr="00AE0D77">
              <w:rPr>
                <w:rFonts w:eastAsia="標楷體"/>
                <w:sz w:val="22"/>
                <w:szCs w:val="22"/>
              </w:rPr>
              <w:t>6.2</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2</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2,488.2</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1</w:t>
            </w:r>
            <w:r w:rsidRPr="00AE0D77">
              <w:rPr>
                <w:rFonts w:eastAsia="標楷體"/>
                <w:sz w:val="22"/>
                <w:szCs w:val="22"/>
                <w:lang w:eastAsia="zh-CN"/>
              </w:rPr>
              <w:t>5.</w:t>
            </w:r>
            <w:r w:rsidRPr="00AE0D77">
              <w:rPr>
                <w:rFonts w:eastAsia="標楷體"/>
                <w:sz w:val="22"/>
                <w:szCs w:val="22"/>
              </w:rPr>
              <w:t>6</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w:t>
            </w:r>
            <w:r w:rsidRPr="00AE0D77">
              <w:rPr>
                <w:rFonts w:eastAsia="標楷體"/>
                <w:sz w:val="22"/>
                <w:szCs w:val="22"/>
                <w:lang w:eastAsia="zh-CN"/>
              </w:rPr>
              <w:t>19</w:t>
            </w:r>
            <w:r w:rsidRPr="00AE0D77">
              <w:rPr>
                <w:rFonts w:eastAsia="標楷體"/>
                <w:sz w:val="22"/>
                <w:szCs w:val="22"/>
              </w:rPr>
              <w:t>6.6</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-1.7</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1,2</w:t>
            </w:r>
            <w:r w:rsidRPr="00AE0D77">
              <w:rPr>
                <w:rFonts w:eastAsia="標楷體"/>
                <w:sz w:val="22"/>
                <w:szCs w:val="22"/>
                <w:lang w:eastAsia="zh-CN"/>
              </w:rPr>
              <w:t>9</w:t>
            </w:r>
            <w:r w:rsidRPr="00AE0D77">
              <w:rPr>
                <w:rFonts w:eastAsia="標楷體"/>
                <w:sz w:val="22"/>
                <w:szCs w:val="22"/>
              </w:rPr>
              <w:t>1</w:t>
            </w:r>
            <w:r w:rsidRPr="00AE0D77">
              <w:rPr>
                <w:rFonts w:eastAsia="標楷體"/>
                <w:sz w:val="22"/>
                <w:szCs w:val="22"/>
                <w:lang w:eastAsia="zh-CN"/>
              </w:rPr>
              <w:t>.</w:t>
            </w:r>
            <w:r w:rsidRPr="00AE0D77">
              <w:rPr>
                <w:rFonts w:eastAsia="標楷體"/>
                <w:sz w:val="22"/>
                <w:szCs w:val="22"/>
              </w:rPr>
              <w:t>7</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lang w:eastAsia="zh-CN"/>
              </w:rPr>
            </w:pPr>
            <w:r w:rsidRPr="00AE0D77">
              <w:rPr>
                <w:rFonts w:eastAsia="標楷體"/>
                <w:sz w:val="22"/>
                <w:szCs w:val="22"/>
              </w:rPr>
              <w:t>38.1</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-95.1</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3</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lang w:eastAsia="zh-CN"/>
              </w:rPr>
              <w:t>3,37</w:t>
            </w:r>
            <w:r w:rsidRPr="00AE0D77">
              <w:rPr>
                <w:rFonts w:eastAsia="標楷體"/>
                <w:sz w:val="22"/>
                <w:szCs w:val="22"/>
              </w:rPr>
              <w:t>2.0</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lang w:eastAsia="zh-CN"/>
              </w:rPr>
            </w:pPr>
            <w:r w:rsidRPr="00AE0D77">
              <w:rPr>
                <w:rFonts w:eastAsia="標楷體"/>
                <w:sz w:val="22"/>
                <w:szCs w:val="22"/>
                <w:lang w:eastAsia="zh-CN"/>
              </w:rPr>
              <w:t>18.2</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lang w:eastAsia="zh-CN"/>
              </w:rPr>
              <w:t>1,80</w:t>
            </w:r>
            <w:r w:rsidRPr="00AE0D77">
              <w:rPr>
                <w:rFonts w:eastAsia="標楷體"/>
                <w:sz w:val="22"/>
                <w:szCs w:val="22"/>
              </w:rPr>
              <w:t>5.0</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lang w:eastAsia="zh-CN"/>
              </w:rPr>
            </w:pPr>
            <w:r w:rsidRPr="00AE0D77">
              <w:rPr>
                <w:rFonts w:eastAsia="標楷體"/>
                <w:sz w:val="22"/>
                <w:szCs w:val="22"/>
                <w:lang w:eastAsia="zh-CN"/>
              </w:rPr>
              <w:t>16.4</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lang w:eastAsia="zh-CN"/>
              </w:rPr>
              <w:t>1,56</w:t>
            </w:r>
            <w:r w:rsidRPr="00AE0D77">
              <w:rPr>
                <w:rFonts w:eastAsia="標楷體"/>
                <w:sz w:val="22"/>
                <w:szCs w:val="22"/>
              </w:rPr>
              <w:t>6.9</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lang w:eastAsia="zh-CN"/>
              </w:rPr>
              <w:t>20.</w:t>
            </w:r>
            <w:r w:rsidRPr="00AE0D77">
              <w:rPr>
                <w:rFonts w:eastAsia="標楷體"/>
                <w:sz w:val="22"/>
                <w:szCs w:val="22"/>
              </w:rPr>
              <w:t>4</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lang w:eastAsia="zh-CN"/>
              </w:rPr>
              <w:t>23</w:t>
            </w:r>
            <w:r w:rsidRPr="00AE0D77">
              <w:rPr>
                <w:rFonts w:eastAsia="標楷體"/>
                <w:sz w:val="22"/>
                <w:szCs w:val="22"/>
              </w:rPr>
              <w:t>8.1</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4</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3,219.0</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9.7</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1,799.7</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8.0</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1,419.3</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11.9</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380.4</w:t>
            </w:r>
          </w:p>
        </w:tc>
      </w:tr>
      <w:tr w:rsidR="00836741" w:rsidRPr="00AE0D77" w:rsidTr="003C2064">
        <w:trPr>
          <w:gridBefore w:val="1"/>
          <w:wBefore w:w="6" w:type="dxa"/>
          <w:cantSplit/>
          <w:trHeight w:hRule="exact" w:val="401"/>
        </w:trPr>
        <w:tc>
          <w:tcPr>
            <w:tcW w:w="1532" w:type="dxa"/>
            <w:tcBorders>
              <w:top w:val="nil"/>
              <w:left w:val="nil"/>
              <w:bottom w:val="nil"/>
              <w:right w:val="single" w:sz="4" w:space="0" w:color="auto"/>
            </w:tcBorders>
            <w:vAlign w:val="center"/>
          </w:tcPr>
          <w:p w:rsidR="00E83DB6" w:rsidRPr="00AE0D77" w:rsidRDefault="00E83DB6" w:rsidP="003C2064">
            <w:pPr>
              <w:snapToGrid w:val="0"/>
              <w:spacing w:line="240" w:lineRule="exact"/>
              <w:ind w:left="-113" w:right="-113"/>
              <w:jc w:val="center"/>
              <w:rPr>
                <w:rFonts w:eastAsia="標楷體"/>
                <w:sz w:val="22"/>
              </w:rPr>
            </w:pPr>
            <w:r w:rsidRPr="00AE0D77">
              <w:rPr>
                <w:rFonts w:eastAsia="標楷體"/>
                <w:sz w:val="22"/>
              </w:rPr>
              <w:t>5</w:t>
            </w:r>
            <w:r w:rsidRPr="00AE0D77">
              <w:rPr>
                <w:rFonts w:eastAsia="標楷體"/>
                <w:sz w:val="22"/>
              </w:rPr>
              <w:t>月</w:t>
            </w:r>
          </w:p>
        </w:tc>
        <w:tc>
          <w:tcPr>
            <w:tcW w:w="1219" w:type="dxa"/>
            <w:tcBorders>
              <w:top w:val="nil"/>
              <w:left w:val="single" w:sz="4" w:space="0" w:color="auto"/>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3,412.5</w:t>
            </w:r>
          </w:p>
        </w:tc>
        <w:tc>
          <w:tcPr>
            <w:tcW w:w="784"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center"/>
              <w:rPr>
                <w:rFonts w:eastAsia="標楷體"/>
                <w:sz w:val="22"/>
                <w:szCs w:val="22"/>
              </w:rPr>
            </w:pPr>
            <w:r w:rsidRPr="00AE0D77">
              <w:rPr>
                <w:rFonts w:eastAsia="標楷體"/>
                <w:sz w:val="22"/>
                <w:szCs w:val="22"/>
              </w:rPr>
              <w:t>11.3</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1,910.3</w:t>
            </w:r>
          </w:p>
        </w:tc>
        <w:tc>
          <w:tcPr>
            <w:tcW w:w="839" w:type="dxa"/>
            <w:tcBorders>
              <w:top w:val="nil"/>
              <w:left w:val="nil"/>
              <w:bottom w:val="nil"/>
              <w:right w:val="nil"/>
            </w:tcBorders>
            <w:vAlign w:val="center"/>
          </w:tcPr>
          <w:p w:rsidR="00E83DB6" w:rsidRPr="00AE0D77" w:rsidRDefault="00E83DB6" w:rsidP="003C2064">
            <w:pPr>
              <w:snapToGrid w:val="0"/>
              <w:spacing w:line="240" w:lineRule="exact"/>
              <w:ind w:left="-113" w:rightChars="50" w:right="120"/>
              <w:jc w:val="right"/>
              <w:rPr>
                <w:rFonts w:eastAsia="標楷體"/>
                <w:sz w:val="22"/>
                <w:szCs w:val="22"/>
              </w:rPr>
            </w:pPr>
            <w:r w:rsidRPr="00AE0D77">
              <w:rPr>
                <w:rFonts w:eastAsia="標楷體"/>
                <w:sz w:val="22"/>
                <w:szCs w:val="22"/>
              </w:rPr>
              <w:t>8.7</w:t>
            </w:r>
          </w:p>
        </w:tc>
        <w:tc>
          <w:tcPr>
            <w:tcW w:w="96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1,502.2</w:t>
            </w:r>
          </w:p>
        </w:tc>
        <w:tc>
          <w:tcPr>
            <w:tcW w:w="896" w:type="dxa"/>
            <w:tcBorders>
              <w:top w:val="nil"/>
              <w:left w:val="nil"/>
              <w:bottom w:val="nil"/>
              <w:right w:val="nil"/>
            </w:tcBorders>
            <w:vAlign w:val="center"/>
          </w:tcPr>
          <w:p w:rsidR="00E83DB6" w:rsidRPr="00AE0D77" w:rsidRDefault="00E83DB6" w:rsidP="003C2064">
            <w:pPr>
              <w:snapToGrid w:val="0"/>
              <w:spacing w:line="240" w:lineRule="exact"/>
              <w:ind w:left="-113" w:right="-113"/>
              <w:jc w:val="center"/>
              <w:rPr>
                <w:rFonts w:eastAsia="標楷體"/>
                <w:sz w:val="22"/>
                <w:szCs w:val="22"/>
              </w:rPr>
            </w:pPr>
            <w:r w:rsidRPr="00AE0D77">
              <w:rPr>
                <w:rFonts w:eastAsia="標楷體"/>
                <w:sz w:val="22"/>
                <w:szCs w:val="22"/>
              </w:rPr>
              <w:t>14.8</w:t>
            </w:r>
          </w:p>
        </w:tc>
        <w:tc>
          <w:tcPr>
            <w:tcW w:w="1313" w:type="dxa"/>
            <w:tcBorders>
              <w:top w:val="nil"/>
              <w:left w:val="nil"/>
              <w:bottom w:val="nil"/>
              <w:right w:val="nil"/>
            </w:tcBorders>
            <w:vAlign w:val="center"/>
          </w:tcPr>
          <w:p w:rsidR="00E83DB6" w:rsidRPr="00AE0D77" w:rsidRDefault="00E83DB6" w:rsidP="003C2064">
            <w:pPr>
              <w:snapToGrid w:val="0"/>
              <w:spacing w:line="240" w:lineRule="exact"/>
              <w:ind w:left="-113" w:rightChars="150" w:right="360"/>
              <w:jc w:val="right"/>
              <w:rPr>
                <w:rFonts w:eastAsia="標楷體"/>
                <w:sz w:val="22"/>
                <w:szCs w:val="22"/>
              </w:rPr>
            </w:pPr>
            <w:r w:rsidRPr="00AE0D77">
              <w:rPr>
                <w:rFonts w:eastAsia="標楷體"/>
                <w:sz w:val="22"/>
                <w:szCs w:val="22"/>
              </w:rPr>
              <w:t>408.1</w:t>
            </w:r>
          </w:p>
        </w:tc>
      </w:tr>
    </w:tbl>
    <w:p w:rsidR="001E6CA4" w:rsidRPr="00AE0D77" w:rsidRDefault="0023045D" w:rsidP="0023045D">
      <w:pPr>
        <w:snapToGrid w:val="0"/>
        <w:spacing w:line="0" w:lineRule="atLeast"/>
        <w:ind w:left="1701" w:right="-539" w:hanging="1134"/>
        <w:jc w:val="both"/>
        <w:rPr>
          <w:rFonts w:eastAsia="標楷體"/>
          <w:sz w:val="22"/>
        </w:rPr>
      </w:pPr>
      <w:r w:rsidRPr="00AE0D77">
        <w:rPr>
          <w:rFonts w:eastAsia="標楷體"/>
          <w:sz w:val="22"/>
        </w:rPr>
        <w:t>資料來源：中國大陸海關統計、中國大陸商務部。</w:t>
      </w:r>
      <w:r w:rsidR="001E6CA4" w:rsidRPr="00AE0D77">
        <w:rPr>
          <w:rFonts w:eastAsia="標楷體"/>
        </w:rPr>
        <w:br w:type="page"/>
      </w:r>
    </w:p>
    <w:p w:rsidR="00095F07" w:rsidRPr="00AE0D77" w:rsidRDefault="00356E0E" w:rsidP="00095F07">
      <w:pPr>
        <w:keepNext/>
        <w:adjustRightInd w:val="0"/>
        <w:snapToGrid w:val="0"/>
        <w:spacing w:line="300" w:lineRule="auto"/>
        <w:outlineLvl w:val="1"/>
        <w:rPr>
          <w:rFonts w:eastAsia="標楷體"/>
          <w:b/>
          <w:bCs/>
          <w:sz w:val="40"/>
          <w:szCs w:val="36"/>
        </w:rPr>
      </w:pPr>
      <w:bookmarkStart w:id="159" w:name="_Toc415126226"/>
      <w:bookmarkStart w:id="160" w:name="_Toc486347642"/>
      <w:bookmarkStart w:id="161" w:name="_Toc391906422"/>
      <w:bookmarkStart w:id="162" w:name="_Toc417918572"/>
      <w:bookmarkEnd w:id="154"/>
      <w:bookmarkEnd w:id="155"/>
      <w:bookmarkEnd w:id="156"/>
      <w:bookmarkEnd w:id="157"/>
      <w:r w:rsidRPr="00AE0D77">
        <w:rPr>
          <w:rFonts w:eastAsia="標楷體"/>
          <w:noProof/>
        </w:rPr>
        <w:drawing>
          <wp:anchor distT="0" distB="0" distL="114300" distR="114300" simplePos="0" relativeHeight="252463616" behindDoc="0" locked="0" layoutInCell="1" allowOverlap="1" wp14:anchorId="433E0014" wp14:editId="3C95C553">
            <wp:simplePos x="0" y="0"/>
            <wp:positionH relativeFrom="column">
              <wp:posOffset>2841625</wp:posOffset>
            </wp:positionH>
            <wp:positionV relativeFrom="paragraph">
              <wp:posOffset>-243205</wp:posOffset>
            </wp:positionV>
            <wp:extent cx="3790950" cy="2819400"/>
            <wp:effectExtent l="0" t="0" r="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095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AE0D77">
        <w:rPr>
          <w:rFonts w:eastAsia="標楷體"/>
          <w:b/>
          <w:bCs/>
          <w:sz w:val="40"/>
          <w:szCs w:val="36"/>
        </w:rPr>
        <w:t>四、兩岸經貿</w:t>
      </w:r>
      <w:bookmarkEnd w:id="159"/>
      <w:bookmarkEnd w:id="160"/>
    </w:p>
    <w:p w:rsidR="00095F07" w:rsidRPr="00AE0D77" w:rsidRDefault="00095F07" w:rsidP="00095F07">
      <w:pPr>
        <w:keepNext/>
        <w:adjustRightInd w:val="0"/>
        <w:snapToGrid w:val="0"/>
        <w:spacing w:line="300" w:lineRule="auto"/>
        <w:outlineLvl w:val="1"/>
        <w:rPr>
          <w:rFonts w:eastAsia="標楷體"/>
          <w:b/>
          <w:bCs/>
          <w:sz w:val="40"/>
          <w:szCs w:val="36"/>
        </w:rPr>
      </w:pPr>
      <w:bookmarkStart w:id="163" w:name="_Toc415126227"/>
      <w:bookmarkStart w:id="164" w:name="_Toc486347643"/>
      <w:r w:rsidRPr="00AE0D77">
        <w:rPr>
          <w:rFonts w:eastAsia="標楷體"/>
          <w:b/>
          <w:bCs/>
          <w:sz w:val="40"/>
          <w:szCs w:val="36"/>
        </w:rPr>
        <w:t>（一）兩岸投資</w:t>
      </w:r>
      <w:bookmarkEnd w:id="163"/>
      <w:bookmarkEnd w:id="164"/>
    </w:p>
    <w:p w:rsidR="00095F07" w:rsidRPr="00AE0D77" w:rsidRDefault="00095F07" w:rsidP="00095F07">
      <w:pPr>
        <w:widowControl/>
        <w:snapToGrid w:val="0"/>
        <w:spacing w:line="276" w:lineRule="auto"/>
        <w:ind w:right="-142"/>
        <w:jc w:val="both"/>
        <w:rPr>
          <w:rFonts w:eastAsia="標楷體"/>
          <w:b/>
          <w:bCs/>
          <w:kern w:val="0"/>
          <w:sz w:val="32"/>
          <w:szCs w:val="20"/>
        </w:rPr>
      </w:pPr>
      <w:r w:rsidRPr="00AE0D77">
        <w:rPr>
          <w:rFonts w:eastAsia="標楷體"/>
          <w:b/>
          <w:bCs/>
          <w:kern w:val="0"/>
          <w:sz w:val="32"/>
          <w:szCs w:val="20"/>
        </w:rPr>
        <w:t>１、我對中國大陸投資</w:t>
      </w:r>
    </w:p>
    <w:p w:rsidR="00834A71" w:rsidRPr="00AE0D77" w:rsidRDefault="00834A71" w:rsidP="00834A71">
      <w:pPr>
        <w:snapToGrid w:val="0"/>
        <w:ind w:leftChars="100" w:left="520" w:hangingChars="100" w:hanging="280"/>
        <w:jc w:val="both"/>
        <w:rPr>
          <w:rFonts w:eastAsia="標楷體"/>
          <w:sz w:val="28"/>
          <w:szCs w:val="16"/>
        </w:rPr>
      </w:pPr>
      <w:r w:rsidRPr="00AE0D77">
        <w:rPr>
          <w:rFonts w:eastAsia="標楷體"/>
          <w:sz w:val="28"/>
          <w:szCs w:val="16"/>
        </w:rPr>
        <w:t>－</w:t>
      </w:r>
      <w:r w:rsidR="00356E0E" w:rsidRPr="00AE0D77">
        <w:rPr>
          <w:rFonts w:eastAsia="標楷體"/>
          <w:sz w:val="28"/>
          <w:szCs w:val="16"/>
        </w:rPr>
        <w:t>2017</w:t>
      </w:r>
      <w:r w:rsidR="00356E0E" w:rsidRPr="00AE0D77">
        <w:rPr>
          <w:rFonts w:eastAsia="標楷體"/>
          <w:sz w:val="28"/>
          <w:szCs w:val="16"/>
        </w:rPr>
        <w:t>年</w:t>
      </w:r>
      <w:r w:rsidR="00356E0E" w:rsidRPr="00AE0D77">
        <w:rPr>
          <w:rFonts w:eastAsia="標楷體"/>
          <w:sz w:val="28"/>
          <w:szCs w:val="16"/>
        </w:rPr>
        <w:t>5</w:t>
      </w:r>
      <w:r w:rsidR="00356E0E" w:rsidRPr="00AE0D77">
        <w:rPr>
          <w:rFonts w:eastAsia="標楷體"/>
          <w:sz w:val="28"/>
          <w:szCs w:val="16"/>
        </w:rPr>
        <w:t>月我對中國大陸投資件數為</w:t>
      </w:r>
      <w:r w:rsidR="00356E0E" w:rsidRPr="00AE0D77">
        <w:rPr>
          <w:rFonts w:eastAsia="標楷體"/>
          <w:sz w:val="28"/>
          <w:szCs w:val="16"/>
        </w:rPr>
        <w:t>48</w:t>
      </w:r>
      <w:r w:rsidR="00356E0E" w:rsidRPr="00AE0D77">
        <w:rPr>
          <w:rFonts w:eastAsia="標楷體"/>
          <w:sz w:val="28"/>
          <w:szCs w:val="16"/>
        </w:rPr>
        <w:t>件，金額為</w:t>
      </w:r>
      <w:r w:rsidR="00356E0E" w:rsidRPr="00AE0D77">
        <w:rPr>
          <w:rFonts w:eastAsia="標楷體"/>
          <w:sz w:val="28"/>
          <w:szCs w:val="16"/>
        </w:rPr>
        <w:t>3.1</w:t>
      </w:r>
      <w:r w:rsidR="00356E0E" w:rsidRPr="00AE0D77">
        <w:rPr>
          <w:rFonts w:eastAsia="標楷體"/>
          <w:sz w:val="28"/>
          <w:szCs w:val="16"/>
        </w:rPr>
        <w:t>億美元。累計</w:t>
      </w:r>
      <w:r w:rsidR="00356E0E" w:rsidRPr="00AE0D77">
        <w:rPr>
          <w:rFonts w:eastAsia="標楷體"/>
          <w:sz w:val="28"/>
          <w:szCs w:val="16"/>
        </w:rPr>
        <w:t>1991</w:t>
      </w:r>
      <w:r w:rsidR="00356E0E" w:rsidRPr="00AE0D77">
        <w:rPr>
          <w:rFonts w:eastAsia="標楷體"/>
          <w:sz w:val="28"/>
          <w:szCs w:val="16"/>
        </w:rPr>
        <w:t>年至</w:t>
      </w:r>
      <w:r w:rsidR="00356E0E" w:rsidRPr="00AE0D77">
        <w:rPr>
          <w:rFonts w:eastAsia="標楷體"/>
          <w:sz w:val="28"/>
          <w:szCs w:val="16"/>
        </w:rPr>
        <w:t>2017</w:t>
      </w:r>
      <w:r w:rsidR="00356E0E" w:rsidRPr="00AE0D77">
        <w:rPr>
          <w:rFonts w:eastAsia="標楷體"/>
          <w:sz w:val="28"/>
          <w:szCs w:val="16"/>
        </w:rPr>
        <w:t>年</w:t>
      </w:r>
      <w:r w:rsidR="00356E0E" w:rsidRPr="00AE0D77">
        <w:rPr>
          <w:rFonts w:eastAsia="標楷體"/>
          <w:sz w:val="28"/>
          <w:szCs w:val="16"/>
        </w:rPr>
        <w:t>5</w:t>
      </w:r>
      <w:r w:rsidR="00356E0E" w:rsidRPr="00AE0D77">
        <w:rPr>
          <w:rFonts w:eastAsia="標楷體"/>
          <w:sz w:val="28"/>
          <w:szCs w:val="16"/>
        </w:rPr>
        <w:t>月底，臺商赴中國大陸投資共計</w:t>
      </w:r>
      <w:r w:rsidR="00356E0E" w:rsidRPr="00AE0D77">
        <w:rPr>
          <w:rFonts w:eastAsia="標楷體"/>
          <w:sz w:val="28"/>
          <w:szCs w:val="16"/>
        </w:rPr>
        <w:t>1,673.8</w:t>
      </w:r>
      <w:r w:rsidR="00356E0E" w:rsidRPr="00AE0D77">
        <w:rPr>
          <w:rFonts w:eastAsia="標楷體"/>
          <w:sz w:val="28"/>
          <w:szCs w:val="16"/>
        </w:rPr>
        <w:t>億美元。（以上件數及金額均含經核准補辦案件）</w:t>
      </w:r>
    </w:p>
    <w:p w:rsidR="00834A71" w:rsidRPr="00AE0D77" w:rsidRDefault="00834A71" w:rsidP="00834A71">
      <w:pPr>
        <w:snapToGrid w:val="0"/>
        <w:spacing w:beforeLines="50" w:before="180" w:line="320" w:lineRule="exact"/>
        <w:ind w:right="-573"/>
        <w:jc w:val="center"/>
        <w:rPr>
          <w:rFonts w:eastAsia="標楷體"/>
          <w:b/>
          <w:bCs/>
          <w:sz w:val="28"/>
        </w:rPr>
      </w:pPr>
      <w:r w:rsidRPr="00AE0D77">
        <w:rPr>
          <w:rFonts w:eastAsia="標楷體"/>
          <w:b/>
          <w:bCs/>
          <w:sz w:val="28"/>
        </w:rPr>
        <w:t>表</w:t>
      </w:r>
      <w:r w:rsidRPr="00AE0D77">
        <w:rPr>
          <w:rFonts w:eastAsia="標楷體"/>
          <w:b/>
          <w:bCs/>
          <w:sz w:val="28"/>
        </w:rPr>
        <w:t xml:space="preserve">4-1  </w:t>
      </w:r>
      <w:r w:rsidRPr="00AE0D77">
        <w:rPr>
          <w:rFonts w:eastAsia="標楷體"/>
          <w:b/>
          <w:bCs/>
          <w:sz w:val="28"/>
        </w:rPr>
        <w:t>臺商赴中國大陸投資概況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836741" w:rsidRPr="00AE0D77" w:rsidTr="003C2064">
        <w:trPr>
          <w:cantSplit/>
        </w:trPr>
        <w:tc>
          <w:tcPr>
            <w:tcW w:w="1648" w:type="dxa"/>
            <w:vMerge w:val="restart"/>
            <w:tcBorders>
              <w:left w:val="nil"/>
            </w:tcBorders>
            <w:vAlign w:val="center"/>
          </w:tcPr>
          <w:p w:rsidR="00356E0E" w:rsidRPr="00AE0D77" w:rsidRDefault="00356E0E" w:rsidP="003C2064">
            <w:pPr>
              <w:adjustRightInd w:val="0"/>
              <w:snapToGrid w:val="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4436" w:type="dxa"/>
            <w:gridSpan w:val="3"/>
          </w:tcPr>
          <w:p w:rsidR="00356E0E" w:rsidRPr="00AE0D77" w:rsidRDefault="00356E0E" w:rsidP="003C2064">
            <w:pPr>
              <w:adjustRightInd w:val="0"/>
              <w:snapToGrid w:val="0"/>
              <w:jc w:val="center"/>
              <w:rPr>
                <w:rFonts w:eastAsia="標楷體"/>
                <w:b/>
                <w:bCs/>
                <w:sz w:val="28"/>
              </w:rPr>
            </w:pPr>
            <w:r w:rsidRPr="00AE0D77">
              <w:rPr>
                <w:rFonts w:eastAsia="標楷體"/>
              </w:rPr>
              <w:t>經濟部核准資料</w:t>
            </w:r>
          </w:p>
        </w:tc>
        <w:tc>
          <w:tcPr>
            <w:tcW w:w="3304" w:type="dxa"/>
            <w:gridSpan w:val="2"/>
            <w:tcBorders>
              <w:right w:val="nil"/>
            </w:tcBorders>
          </w:tcPr>
          <w:p w:rsidR="00356E0E" w:rsidRPr="00AE0D77" w:rsidRDefault="00356E0E" w:rsidP="003C2064">
            <w:pPr>
              <w:adjustRightInd w:val="0"/>
              <w:snapToGrid w:val="0"/>
              <w:jc w:val="center"/>
              <w:rPr>
                <w:rFonts w:eastAsia="標楷體"/>
                <w:b/>
                <w:bCs/>
                <w:sz w:val="28"/>
              </w:rPr>
            </w:pPr>
            <w:r w:rsidRPr="00AE0D77">
              <w:rPr>
                <w:rFonts w:eastAsia="標楷體"/>
              </w:rPr>
              <w:t>中國大陸對外宣布</w:t>
            </w:r>
          </w:p>
        </w:tc>
      </w:tr>
      <w:tr w:rsidR="00836741" w:rsidRPr="00AE0D77" w:rsidTr="003C2064">
        <w:trPr>
          <w:cantSplit/>
        </w:trPr>
        <w:tc>
          <w:tcPr>
            <w:tcW w:w="1648" w:type="dxa"/>
            <w:vMerge/>
            <w:tcBorders>
              <w:left w:val="nil"/>
            </w:tcBorders>
          </w:tcPr>
          <w:p w:rsidR="00356E0E" w:rsidRPr="00AE0D77" w:rsidRDefault="00356E0E" w:rsidP="003C2064">
            <w:pPr>
              <w:adjustRightInd w:val="0"/>
              <w:snapToGrid w:val="0"/>
              <w:jc w:val="center"/>
              <w:rPr>
                <w:rFonts w:eastAsia="標楷體"/>
                <w:b/>
                <w:bCs/>
                <w:sz w:val="28"/>
              </w:rPr>
            </w:pPr>
          </w:p>
        </w:tc>
        <w:tc>
          <w:tcPr>
            <w:tcW w:w="1394" w:type="dxa"/>
            <w:vMerge w:val="restart"/>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數量</w:t>
            </w:r>
            <w:r w:rsidRPr="00AE0D77">
              <w:rPr>
                <w:rFonts w:eastAsia="標楷體"/>
                <w:sz w:val="22"/>
              </w:rPr>
              <w:t>*</w:t>
            </w:r>
          </w:p>
          <w:p w:rsidR="00356E0E" w:rsidRPr="00AE0D77" w:rsidRDefault="00356E0E" w:rsidP="003C2064">
            <w:pPr>
              <w:adjustRightInd w:val="0"/>
              <w:snapToGrid w:val="0"/>
              <w:spacing w:line="240" w:lineRule="exact"/>
              <w:jc w:val="center"/>
              <w:rPr>
                <w:rFonts w:eastAsia="標楷體"/>
                <w:b/>
                <w:bCs/>
                <w:sz w:val="28"/>
              </w:rPr>
            </w:pPr>
            <w:r w:rsidRPr="00AE0D77">
              <w:rPr>
                <w:rFonts w:eastAsia="標楷體"/>
                <w:sz w:val="22"/>
              </w:rPr>
              <w:t>（件）</w:t>
            </w:r>
          </w:p>
        </w:tc>
        <w:tc>
          <w:tcPr>
            <w:tcW w:w="1521" w:type="dxa"/>
            <w:vMerge w:val="restart"/>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金額</w:t>
            </w:r>
            <w:r w:rsidRPr="00AE0D77">
              <w:rPr>
                <w:rFonts w:eastAsia="標楷體"/>
                <w:sz w:val="22"/>
              </w:rPr>
              <w:t>*</w:t>
            </w:r>
          </w:p>
          <w:p w:rsidR="00356E0E" w:rsidRPr="00AE0D77" w:rsidRDefault="00356E0E" w:rsidP="003C2064">
            <w:pPr>
              <w:adjustRightInd w:val="0"/>
              <w:snapToGrid w:val="0"/>
              <w:spacing w:line="240" w:lineRule="exact"/>
              <w:jc w:val="center"/>
              <w:rPr>
                <w:rFonts w:eastAsia="標楷體"/>
                <w:b/>
                <w:bCs/>
                <w:sz w:val="28"/>
              </w:rPr>
            </w:pPr>
            <w:r w:rsidRPr="00AE0D77">
              <w:rPr>
                <w:rFonts w:eastAsia="標楷體"/>
                <w:sz w:val="22"/>
              </w:rPr>
              <w:t>（億美元）</w:t>
            </w:r>
          </w:p>
        </w:tc>
        <w:tc>
          <w:tcPr>
            <w:tcW w:w="1521" w:type="dxa"/>
            <w:vMerge w:val="restart"/>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平均投資</w:t>
            </w:r>
            <w:r w:rsidRPr="00AE0D77">
              <w:rPr>
                <w:rFonts w:eastAsia="標楷體"/>
                <w:sz w:val="16"/>
              </w:rPr>
              <w:t>**</w:t>
            </w:r>
          </w:p>
          <w:p w:rsidR="00356E0E" w:rsidRPr="00AE0D77" w:rsidRDefault="00356E0E" w:rsidP="003C2064">
            <w:pPr>
              <w:adjustRightInd w:val="0"/>
              <w:snapToGrid w:val="0"/>
              <w:spacing w:line="240" w:lineRule="exact"/>
              <w:jc w:val="center"/>
              <w:rPr>
                <w:rFonts w:eastAsia="標楷體"/>
                <w:b/>
                <w:bCs/>
                <w:sz w:val="28"/>
              </w:rPr>
            </w:pPr>
            <w:r w:rsidRPr="00AE0D77">
              <w:rPr>
                <w:rFonts w:eastAsia="標楷體"/>
                <w:sz w:val="22"/>
              </w:rPr>
              <w:t>規模（萬美元）</w:t>
            </w:r>
          </w:p>
        </w:tc>
        <w:tc>
          <w:tcPr>
            <w:tcW w:w="3304" w:type="dxa"/>
            <w:gridSpan w:val="2"/>
            <w:tcBorders>
              <w:bottom w:val="nil"/>
              <w:right w:val="nil"/>
            </w:tcBorders>
          </w:tcPr>
          <w:p w:rsidR="00356E0E" w:rsidRPr="00AE0D77" w:rsidRDefault="00356E0E" w:rsidP="003C2064">
            <w:pPr>
              <w:adjustRightInd w:val="0"/>
              <w:snapToGrid w:val="0"/>
              <w:spacing w:line="240" w:lineRule="exact"/>
              <w:jc w:val="center"/>
              <w:rPr>
                <w:rFonts w:eastAsia="標楷體"/>
                <w:b/>
                <w:bCs/>
                <w:sz w:val="28"/>
              </w:rPr>
            </w:pPr>
            <w:r w:rsidRPr="00AE0D77">
              <w:rPr>
                <w:rFonts w:eastAsia="標楷體"/>
                <w:sz w:val="22"/>
              </w:rPr>
              <w:t>實際金額（億美元）</w:t>
            </w:r>
          </w:p>
        </w:tc>
      </w:tr>
      <w:tr w:rsidR="00836741" w:rsidRPr="00AE0D77" w:rsidTr="003C2064">
        <w:trPr>
          <w:cantSplit/>
          <w:trHeight w:hRule="exact" w:val="318"/>
        </w:trPr>
        <w:tc>
          <w:tcPr>
            <w:tcW w:w="1648" w:type="dxa"/>
            <w:vMerge/>
            <w:tcBorders>
              <w:left w:val="nil"/>
              <w:bottom w:val="single" w:sz="4" w:space="0" w:color="auto"/>
            </w:tcBorders>
          </w:tcPr>
          <w:p w:rsidR="00356E0E" w:rsidRPr="00AE0D77" w:rsidRDefault="00356E0E" w:rsidP="003C2064">
            <w:pPr>
              <w:adjustRightInd w:val="0"/>
              <w:snapToGrid w:val="0"/>
              <w:jc w:val="center"/>
              <w:rPr>
                <w:rFonts w:eastAsia="標楷體"/>
                <w:b/>
                <w:bCs/>
                <w:sz w:val="28"/>
              </w:rPr>
            </w:pPr>
          </w:p>
        </w:tc>
        <w:tc>
          <w:tcPr>
            <w:tcW w:w="1394" w:type="dxa"/>
            <w:vMerge/>
            <w:tcBorders>
              <w:bottom w:val="single" w:sz="4" w:space="0" w:color="auto"/>
            </w:tcBorders>
          </w:tcPr>
          <w:p w:rsidR="00356E0E" w:rsidRPr="00AE0D77" w:rsidRDefault="00356E0E" w:rsidP="003C2064">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56E0E" w:rsidRPr="00AE0D77" w:rsidRDefault="00356E0E" w:rsidP="003C2064">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56E0E" w:rsidRPr="00AE0D77" w:rsidRDefault="00356E0E" w:rsidP="003C2064">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356E0E" w:rsidRPr="00AE0D77" w:rsidRDefault="00356E0E" w:rsidP="003C2064">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356E0E" w:rsidRPr="00AE0D77" w:rsidRDefault="00356E0E" w:rsidP="003C2064">
            <w:pPr>
              <w:adjustRightInd w:val="0"/>
              <w:snapToGrid w:val="0"/>
              <w:spacing w:line="240" w:lineRule="exact"/>
              <w:jc w:val="center"/>
              <w:rPr>
                <w:rFonts w:eastAsia="標楷體"/>
                <w:b/>
                <w:bCs/>
                <w:sz w:val="28"/>
              </w:rPr>
            </w:pPr>
            <w:r w:rsidRPr="00AE0D77">
              <w:rPr>
                <w:rFonts w:eastAsia="標楷體"/>
                <w:spacing w:val="-24"/>
                <w:sz w:val="22"/>
              </w:rPr>
              <w:t>占外資比重（</w:t>
            </w:r>
            <w:r w:rsidRPr="00AE0D77">
              <w:rPr>
                <w:rFonts w:eastAsia="標楷體"/>
                <w:spacing w:val="-24"/>
                <w:sz w:val="22"/>
              </w:rPr>
              <w:t>%</w:t>
            </w:r>
            <w:r w:rsidRPr="00AE0D77">
              <w:rPr>
                <w:rFonts w:eastAsia="標楷體"/>
                <w:spacing w:val="-24"/>
                <w:sz w:val="22"/>
              </w:rPr>
              <w:t>）</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2012</w:t>
            </w:r>
            <w:r w:rsidRPr="00AE0D77">
              <w:rPr>
                <w:rFonts w:eastAsia="標楷體"/>
              </w:rPr>
              <w:t>年</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636</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127.9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2,406.3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25.6</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2.6</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2013</w:t>
            </w:r>
            <w:r w:rsidRPr="00AE0D77">
              <w:rPr>
                <w:rFonts w:eastAsia="標楷體"/>
              </w:rPr>
              <w:t>年</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554</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91.9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1,658.8</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17.1</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1.8</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2014</w:t>
            </w:r>
            <w:r w:rsidRPr="00AE0D77">
              <w:rPr>
                <w:rFonts w:eastAsia="標楷體"/>
              </w:rPr>
              <w:t>年</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497</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102.8</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2,533.5</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20.2</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1.7</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2015</w:t>
            </w:r>
            <w:r w:rsidRPr="00AE0D77">
              <w:rPr>
                <w:rFonts w:eastAsia="標楷體"/>
              </w:rPr>
              <w:t>年</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427</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109.7</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3,239.3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15.4</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1.2</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2016</w:t>
            </w:r>
            <w:r w:rsidRPr="00AE0D77">
              <w:rPr>
                <w:rFonts w:eastAsia="標楷體"/>
              </w:rPr>
              <w:t>年</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323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96.7</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3,644.4</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19.6</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1.6</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5</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22</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1,722.0</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2.0</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2.2</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6</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32</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7.5</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2,906.3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3.3</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2.2</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7</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18</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17.3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11,447.6</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1.2</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1.6</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8</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31</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3.5</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917.3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1.4</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1.6</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9</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24</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10.4</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7,318.7</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0.6</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0.7</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10</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15</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3.6</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2,994.8</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0.8</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0.9</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11</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10.5</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3,917.9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0.6</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0.6</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12</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43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8.2</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1,958.9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2.7</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2.2</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2017</w:t>
            </w:r>
            <w:r w:rsidRPr="00AE0D77">
              <w:rPr>
                <w:rFonts w:eastAsia="標楷體"/>
              </w:rPr>
              <w:t>年</w:t>
            </w:r>
            <w:r w:rsidRPr="00AE0D77">
              <w:rPr>
                <w:rFonts w:eastAsia="標楷體"/>
              </w:rPr>
              <w:t>1~5</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253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27.9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1,202.3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5.9</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1.7</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1</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47</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6.2</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1,558.5</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1.7</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1.4</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2</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45</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6.3</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1,531.9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2.4</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2.8</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3</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65</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8.5</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1,407.8</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1.8</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1.4</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4</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48</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904.9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w:t>
            </w:r>
          </w:p>
        </w:tc>
      </w:tr>
      <w:tr w:rsidR="00836741" w:rsidRPr="00AE0D77" w:rsidTr="003C2064">
        <w:trPr>
          <w:trHeight w:val="356"/>
        </w:trPr>
        <w:tc>
          <w:tcPr>
            <w:tcW w:w="1648" w:type="dxa"/>
            <w:tcBorders>
              <w:top w:val="nil"/>
              <w:left w:val="nil"/>
              <w:bottom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5</w:t>
            </w:r>
            <w:r w:rsidRPr="00AE0D77">
              <w:rPr>
                <w:rFonts w:eastAsia="標楷體"/>
              </w:rPr>
              <w:t>月</w:t>
            </w:r>
          </w:p>
        </w:tc>
        <w:tc>
          <w:tcPr>
            <w:tcW w:w="1394" w:type="dxa"/>
            <w:tcBorders>
              <w:top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48</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3.1</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szCs w:val="22"/>
              </w:rPr>
            </w:pPr>
            <w:r w:rsidRPr="00AE0D77">
              <w:rPr>
                <w:rFonts w:eastAsia="標楷體"/>
                <w:sz w:val="22"/>
                <w:szCs w:val="22"/>
              </w:rPr>
              <w:t>570.9</w:t>
            </w:r>
          </w:p>
        </w:tc>
        <w:tc>
          <w:tcPr>
            <w:tcW w:w="1521"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w:t>
            </w:r>
          </w:p>
        </w:tc>
        <w:tc>
          <w:tcPr>
            <w:tcW w:w="1783" w:type="dxa"/>
            <w:tcBorders>
              <w:top w:val="nil"/>
              <w:left w:val="nil"/>
              <w:bottom w:val="nil"/>
              <w:right w:val="nil"/>
            </w:tcBorders>
            <w:vAlign w:val="center"/>
          </w:tcPr>
          <w:p w:rsidR="00356E0E" w:rsidRPr="00AE0D77" w:rsidRDefault="00356E0E" w:rsidP="003C2064">
            <w:pPr>
              <w:adjustRightInd w:val="0"/>
              <w:snapToGrid w:val="0"/>
              <w:spacing w:line="240" w:lineRule="exact"/>
              <w:jc w:val="center"/>
              <w:rPr>
                <w:rFonts w:eastAsia="標楷體"/>
                <w:b/>
                <w:sz w:val="22"/>
              </w:rPr>
            </w:pPr>
            <w:r w:rsidRPr="00AE0D77">
              <w:rPr>
                <w:rFonts w:eastAsia="標楷體"/>
                <w:sz w:val="22"/>
              </w:rPr>
              <w:t>—</w:t>
            </w:r>
          </w:p>
        </w:tc>
      </w:tr>
      <w:tr w:rsidR="00836741" w:rsidRPr="00AE0D77" w:rsidTr="003C2064">
        <w:trPr>
          <w:trHeight w:val="356"/>
        </w:trPr>
        <w:tc>
          <w:tcPr>
            <w:tcW w:w="1648" w:type="dxa"/>
            <w:tcBorders>
              <w:top w:val="nil"/>
              <w:left w:val="nil"/>
            </w:tcBorders>
            <w:vAlign w:val="center"/>
          </w:tcPr>
          <w:p w:rsidR="00356E0E" w:rsidRPr="00AE0D77" w:rsidRDefault="00356E0E" w:rsidP="003C2064">
            <w:pPr>
              <w:adjustRightInd w:val="0"/>
              <w:snapToGrid w:val="0"/>
              <w:spacing w:line="240" w:lineRule="exact"/>
              <w:jc w:val="center"/>
              <w:rPr>
                <w:rFonts w:eastAsia="標楷體"/>
              </w:rPr>
            </w:pPr>
            <w:r w:rsidRPr="00AE0D77">
              <w:rPr>
                <w:rFonts w:eastAsia="標楷體"/>
              </w:rPr>
              <w:t>1991</w:t>
            </w:r>
            <w:r w:rsidRPr="00AE0D77">
              <w:rPr>
                <w:rFonts w:eastAsia="標楷體"/>
              </w:rPr>
              <w:t>年以來</w:t>
            </w:r>
          </w:p>
        </w:tc>
        <w:tc>
          <w:tcPr>
            <w:tcW w:w="1394" w:type="dxa"/>
            <w:tcBorders>
              <w:top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42,262</w:t>
            </w:r>
          </w:p>
        </w:tc>
        <w:tc>
          <w:tcPr>
            <w:tcW w:w="1521" w:type="dxa"/>
            <w:tcBorders>
              <w:top w:val="nil"/>
              <w:left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1,673.8</w:t>
            </w:r>
          </w:p>
        </w:tc>
        <w:tc>
          <w:tcPr>
            <w:tcW w:w="1521" w:type="dxa"/>
            <w:tcBorders>
              <w:top w:val="nil"/>
              <w:left w:val="nil"/>
              <w:right w:val="nil"/>
            </w:tcBorders>
            <w:vAlign w:val="center"/>
          </w:tcPr>
          <w:p w:rsidR="00356E0E" w:rsidRPr="00AE0D77" w:rsidRDefault="00356E0E" w:rsidP="003C2064">
            <w:pPr>
              <w:adjustRightInd w:val="0"/>
              <w:snapToGrid w:val="0"/>
              <w:spacing w:line="240" w:lineRule="exact"/>
              <w:jc w:val="center"/>
              <w:rPr>
                <w:rFonts w:eastAsia="標楷體"/>
                <w:sz w:val="22"/>
                <w:highlight w:val="yellow"/>
              </w:rPr>
            </w:pPr>
            <w:r w:rsidRPr="00AE0D77">
              <w:rPr>
                <w:rFonts w:eastAsia="標楷體"/>
                <w:sz w:val="22"/>
                <w:szCs w:val="22"/>
              </w:rPr>
              <w:t>396.1*</w:t>
            </w:r>
          </w:p>
        </w:tc>
        <w:tc>
          <w:tcPr>
            <w:tcW w:w="1521" w:type="dxa"/>
            <w:tcBorders>
              <w:top w:val="nil"/>
              <w:left w:val="nil"/>
              <w:right w:val="nil"/>
            </w:tcBorders>
            <w:vAlign w:val="center"/>
          </w:tcPr>
          <w:p w:rsidR="00356E0E" w:rsidRPr="00AE0D77" w:rsidRDefault="00356E0E" w:rsidP="003C2064">
            <w:pPr>
              <w:adjustRightInd w:val="0"/>
              <w:snapToGrid w:val="0"/>
              <w:spacing w:line="240" w:lineRule="exact"/>
              <w:jc w:val="center"/>
              <w:rPr>
                <w:rFonts w:eastAsia="標楷體"/>
                <w:sz w:val="22"/>
                <w:u w:val="single"/>
              </w:rPr>
            </w:pPr>
            <w:r w:rsidRPr="00AE0D77">
              <w:rPr>
                <w:rFonts w:eastAsia="標楷體"/>
                <w:sz w:val="22"/>
              </w:rPr>
              <w:t>652.4</w:t>
            </w:r>
            <w:r w:rsidRPr="00AE0D77">
              <w:rPr>
                <w:rFonts w:ascii="Cambria Math" w:eastAsia="標楷體" w:hAnsi="Cambria Math" w:cs="Cambria Math"/>
                <w:sz w:val="22"/>
                <w:vertAlign w:val="superscript"/>
              </w:rPr>
              <w:t>△</w:t>
            </w:r>
          </w:p>
        </w:tc>
        <w:tc>
          <w:tcPr>
            <w:tcW w:w="1783" w:type="dxa"/>
            <w:tcBorders>
              <w:top w:val="nil"/>
              <w:left w:val="nil"/>
              <w:right w:val="nil"/>
            </w:tcBorders>
            <w:vAlign w:val="center"/>
          </w:tcPr>
          <w:p w:rsidR="00356E0E" w:rsidRPr="00AE0D77" w:rsidRDefault="00356E0E" w:rsidP="003C2064">
            <w:pPr>
              <w:adjustRightInd w:val="0"/>
              <w:snapToGrid w:val="0"/>
              <w:spacing w:line="240" w:lineRule="exact"/>
              <w:jc w:val="center"/>
              <w:rPr>
                <w:rFonts w:eastAsia="標楷體"/>
                <w:sz w:val="22"/>
              </w:rPr>
            </w:pPr>
            <w:r w:rsidRPr="00AE0D77">
              <w:rPr>
                <w:rFonts w:eastAsia="標楷體"/>
                <w:sz w:val="22"/>
              </w:rPr>
              <w:t>3.6</w:t>
            </w:r>
          </w:p>
        </w:tc>
      </w:tr>
    </w:tbl>
    <w:p w:rsidR="00356E0E" w:rsidRPr="00AE0D77" w:rsidRDefault="00356E0E" w:rsidP="00356E0E">
      <w:pPr>
        <w:snapToGrid w:val="0"/>
        <w:spacing w:line="200" w:lineRule="exact"/>
        <w:ind w:right="-777"/>
        <w:jc w:val="both"/>
        <w:rPr>
          <w:rFonts w:eastAsia="標楷體"/>
          <w:sz w:val="22"/>
          <w:szCs w:val="22"/>
        </w:rPr>
      </w:pPr>
      <w:r w:rsidRPr="00AE0D77">
        <w:rPr>
          <w:rFonts w:eastAsia="標楷體"/>
          <w:sz w:val="22"/>
          <w:szCs w:val="22"/>
        </w:rPr>
        <w:t>註：</w:t>
      </w:r>
      <w:r w:rsidRPr="00AE0D77">
        <w:rPr>
          <w:rFonts w:eastAsia="標楷體"/>
          <w:sz w:val="22"/>
          <w:szCs w:val="22"/>
        </w:rPr>
        <w:t>1.</w:t>
      </w:r>
      <w:r w:rsidRPr="00AE0D77">
        <w:rPr>
          <w:rFonts w:eastAsia="標楷體"/>
          <w:sz w:val="22"/>
          <w:szCs w:val="22"/>
        </w:rPr>
        <w:t>＊含補辦許可案件及金額。</w:t>
      </w:r>
    </w:p>
    <w:p w:rsidR="00356E0E" w:rsidRPr="00AE0D77" w:rsidRDefault="00356E0E" w:rsidP="00356E0E">
      <w:pPr>
        <w:tabs>
          <w:tab w:val="left" w:pos="426"/>
        </w:tabs>
        <w:snapToGrid w:val="0"/>
        <w:spacing w:line="240" w:lineRule="exact"/>
        <w:ind w:right="-777"/>
        <w:jc w:val="both"/>
        <w:rPr>
          <w:rFonts w:eastAsia="標楷體"/>
          <w:sz w:val="22"/>
          <w:szCs w:val="22"/>
        </w:rPr>
      </w:pPr>
      <w:r w:rsidRPr="00AE0D77">
        <w:rPr>
          <w:rFonts w:eastAsia="標楷體"/>
          <w:sz w:val="22"/>
          <w:szCs w:val="22"/>
        </w:rPr>
        <w:t xml:space="preserve">    2.</w:t>
      </w:r>
      <w:r w:rsidRPr="00AE0D77">
        <w:rPr>
          <w:rFonts w:eastAsia="標楷體"/>
          <w:sz w:val="22"/>
          <w:szCs w:val="22"/>
        </w:rPr>
        <w:t>＊＊及我對中國大陸投資變動圖不含補辦許可部分。</w:t>
      </w:r>
    </w:p>
    <w:p w:rsidR="00356E0E" w:rsidRPr="00AE0D77" w:rsidRDefault="00356E0E" w:rsidP="00356E0E">
      <w:pPr>
        <w:tabs>
          <w:tab w:val="left" w:pos="426"/>
        </w:tabs>
        <w:snapToGrid w:val="0"/>
        <w:spacing w:line="240" w:lineRule="exact"/>
        <w:ind w:leftChars="177" w:left="425" w:right="-777"/>
        <w:jc w:val="both"/>
        <w:rPr>
          <w:rFonts w:eastAsia="標楷體"/>
          <w:sz w:val="22"/>
          <w:szCs w:val="22"/>
        </w:rPr>
      </w:pPr>
      <w:r w:rsidRPr="00AE0D77">
        <w:rPr>
          <w:rFonts w:eastAsia="標楷體"/>
          <w:sz w:val="22"/>
          <w:szCs w:val="22"/>
        </w:rPr>
        <w:t>3.</w:t>
      </w:r>
      <w:r w:rsidRPr="00AE0D77">
        <w:rPr>
          <w:rFonts w:ascii="Cambria Math" w:eastAsia="標楷體" w:hAnsi="Cambria Math" w:cs="Cambria Math"/>
          <w:sz w:val="22"/>
          <w:szCs w:val="22"/>
        </w:rPr>
        <w:t>△</w:t>
      </w:r>
      <w:r w:rsidRPr="00AE0D77">
        <w:rPr>
          <w:rFonts w:eastAsia="標楷體"/>
          <w:sz w:val="22"/>
          <w:szCs w:val="22"/>
        </w:rPr>
        <w:t>為自</w:t>
      </w:r>
      <w:r w:rsidRPr="00AE0D77">
        <w:rPr>
          <w:rFonts w:eastAsia="標楷體"/>
          <w:sz w:val="22"/>
          <w:szCs w:val="22"/>
        </w:rPr>
        <w:t>1989</w:t>
      </w:r>
      <w:r w:rsidRPr="00AE0D77">
        <w:rPr>
          <w:rFonts w:eastAsia="標楷體"/>
          <w:sz w:val="22"/>
          <w:szCs w:val="22"/>
        </w:rPr>
        <w:t>年以來之統計資料。</w:t>
      </w:r>
    </w:p>
    <w:p w:rsidR="00356E0E" w:rsidRPr="00AE0D77" w:rsidRDefault="00356E0E" w:rsidP="00356E0E">
      <w:pPr>
        <w:tabs>
          <w:tab w:val="left" w:pos="709"/>
        </w:tabs>
        <w:snapToGrid w:val="0"/>
        <w:spacing w:line="240" w:lineRule="exact"/>
        <w:ind w:leftChars="177" w:left="566" w:right="-631" w:hangingChars="64" w:hanging="141"/>
        <w:jc w:val="both"/>
        <w:rPr>
          <w:rFonts w:eastAsia="標楷體"/>
          <w:sz w:val="22"/>
          <w:szCs w:val="22"/>
        </w:rPr>
      </w:pPr>
      <w:r w:rsidRPr="00AE0D77">
        <w:rPr>
          <w:rFonts w:eastAsia="標楷體"/>
          <w:sz w:val="22"/>
          <w:szCs w:val="22"/>
        </w:rPr>
        <w:t>4.</w:t>
      </w:r>
      <w:r w:rsidRPr="00AE0D77">
        <w:rPr>
          <w:rFonts w:eastAsia="標楷體"/>
          <w:sz w:val="22"/>
          <w:szCs w:val="22"/>
        </w:rPr>
        <w:t>中國大陸對外宣布數據不包括臺灣透過維京、開曼群島、薩摩亞、模里西斯等自由港對中國大陸投資之金額。</w:t>
      </w:r>
    </w:p>
    <w:p w:rsidR="00834A71" w:rsidRPr="00AE0D77" w:rsidRDefault="00356E0E" w:rsidP="00356E0E">
      <w:pPr>
        <w:snapToGrid w:val="0"/>
        <w:spacing w:line="240" w:lineRule="exact"/>
        <w:ind w:right="-777"/>
        <w:jc w:val="both"/>
        <w:rPr>
          <w:rFonts w:eastAsia="標楷體"/>
          <w:b/>
          <w:bCs/>
          <w:sz w:val="32"/>
        </w:rPr>
      </w:pPr>
      <w:r w:rsidRPr="00AE0D77">
        <w:rPr>
          <w:rFonts w:eastAsia="標楷體"/>
          <w:sz w:val="22"/>
          <w:szCs w:val="22"/>
        </w:rPr>
        <w:t>資料來源：經濟部投審會、中國大陸商務部。</w:t>
      </w:r>
      <w:r w:rsidR="00834A71" w:rsidRPr="00AE0D77">
        <w:rPr>
          <w:rFonts w:eastAsia="標楷體"/>
          <w:b/>
          <w:bCs/>
          <w:sz w:val="32"/>
        </w:rPr>
        <w:br w:type="page"/>
      </w:r>
    </w:p>
    <w:p w:rsidR="005446F7" w:rsidRPr="00AE0D77" w:rsidRDefault="00356E0E" w:rsidP="005446F7">
      <w:pPr>
        <w:pStyle w:val="k3a"/>
        <w:spacing w:beforeLines="0" w:before="0" w:line="276" w:lineRule="auto"/>
        <w:ind w:leftChars="0" w:left="0" w:firstLineChars="0" w:firstLine="0"/>
      </w:pPr>
      <w:r w:rsidRPr="00AE0D77">
        <w:rPr>
          <w:noProof/>
        </w:rPr>
        <w:drawing>
          <wp:anchor distT="0" distB="0" distL="114300" distR="114300" simplePos="0" relativeHeight="252465664" behindDoc="0" locked="0" layoutInCell="1" allowOverlap="1" wp14:anchorId="58BFD49F" wp14:editId="524CBEF0">
            <wp:simplePos x="0" y="0"/>
            <wp:positionH relativeFrom="column">
              <wp:posOffset>3263265</wp:posOffset>
            </wp:positionH>
            <wp:positionV relativeFrom="paragraph">
              <wp:posOffset>185420</wp:posOffset>
            </wp:positionV>
            <wp:extent cx="3362325" cy="2715260"/>
            <wp:effectExtent l="0" t="0" r="0" b="0"/>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2325" cy="271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6F7" w:rsidRPr="00AE0D77">
        <w:rPr>
          <w:b/>
          <w:bCs/>
          <w:sz w:val="32"/>
        </w:rPr>
        <w:t>２、中國大陸對我投資</w:t>
      </w:r>
    </w:p>
    <w:p w:rsidR="00356E0E" w:rsidRPr="00AE0D77" w:rsidRDefault="003838D5" w:rsidP="00356E0E">
      <w:pPr>
        <w:pStyle w:val="k3a"/>
        <w:spacing w:beforeLines="0" w:before="0"/>
        <w:ind w:leftChars="119" w:left="569" w:right="0" w:hangingChars="101" w:hanging="283"/>
        <w:rPr>
          <w:szCs w:val="16"/>
        </w:rPr>
      </w:pPr>
      <w:r w:rsidRPr="00AE0D77">
        <w:rPr>
          <w:szCs w:val="16"/>
        </w:rPr>
        <w:t>－</w:t>
      </w:r>
      <w:r w:rsidR="00356E0E" w:rsidRPr="00AE0D77">
        <w:rPr>
          <w:szCs w:val="16"/>
        </w:rPr>
        <w:t>2017</w:t>
      </w:r>
      <w:r w:rsidR="00356E0E" w:rsidRPr="00AE0D77">
        <w:rPr>
          <w:szCs w:val="16"/>
        </w:rPr>
        <w:t>年</w:t>
      </w:r>
      <w:r w:rsidR="00356E0E" w:rsidRPr="00AE0D77">
        <w:rPr>
          <w:kern w:val="2"/>
          <w:szCs w:val="16"/>
        </w:rPr>
        <w:t>5</w:t>
      </w:r>
      <w:r w:rsidR="00356E0E" w:rsidRPr="00AE0D77">
        <w:rPr>
          <w:szCs w:val="16"/>
        </w:rPr>
        <w:t>月陸資來臺投資件數為</w:t>
      </w:r>
      <w:r w:rsidR="00356E0E" w:rsidRPr="00AE0D77">
        <w:rPr>
          <w:szCs w:val="16"/>
        </w:rPr>
        <w:t>9</w:t>
      </w:r>
      <w:r w:rsidR="00356E0E" w:rsidRPr="00AE0D77">
        <w:rPr>
          <w:szCs w:val="16"/>
        </w:rPr>
        <w:t>件，金額為</w:t>
      </w:r>
      <w:r w:rsidR="00356E0E" w:rsidRPr="00AE0D77">
        <w:rPr>
          <w:szCs w:val="16"/>
        </w:rPr>
        <w:t>8,919.7</w:t>
      </w:r>
      <w:r w:rsidR="00356E0E" w:rsidRPr="00AE0D77">
        <w:rPr>
          <w:kern w:val="2"/>
          <w:szCs w:val="16"/>
        </w:rPr>
        <w:t>萬美元</w:t>
      </w:r>
      <w:r w:rsidR="00356E0E" w:rsidRPr="00AE0D77">
        <w:rPr>
          <w:szCs w:val="16"/>
        </w:rPr>
        <w:t>。累計</w:t>
      </w:r>
      <w:r w:rsidR="00356E0E" w:rsidRPr="00AE0D77">
        <w:rPr>
          <w:szCs w:val="16"/>
        </w:rPr>
        <w:t>2009</w:t>
      </w:r>
      <w:r w:rsidR="00356E0E" w:rsidRPr="00AE0D77">
        <w:rPr>
          <w:szCs w:val="16"/>
        </w:rPr>
        <w:t>年</w:t>
      </w:r>
      <w:r w:rsidR="00356E0E" w:rsidRPr="00AE0D77">
        <w:rPr>
          <w:szCs w:val="16"/>
        </w:rPr>
        <w:t>6</w:t>
      </w:r>
      <w:r w:rsidR="00356E0E" w:rsidRPr="00AE0D77">
        <w:rPr>
          <w:szCs w:val="16"/>
        </w:rPr>
        <w:t>月</w:t>
      </w:r>
      <w:r w:rsidR="00356E0E" w:rsidRPr="00AE0D77">
        <w:rPr>
          <w:szCs w:val="16"/>
        </w:rPr>
        <w:t>30</w:t>
      </w:r>
      <w:r w:rsidR="00356E0E" w:rsidRPr="00AE0D77">
        <w:rPr>
          <w:szCs w:val="16"/>
        </w:rPr>
        <w:t>日至</w:t>
      </w:r>
      <w:r w:rsidR="00356E0E" w:rsidRPr="00AE0D77">
        <w:rPr>
          <w:szCs w:val="16"/>
        </w:rPr>
        <w:t>2017</w:t>
      </w:r>
      <w:r w:rsidR="00356E0E" w:rsidRPr="00AE0D77">
        <w:rPr>
          <w:szCs w:val="16"/>
        </w:rPr>
        <w:t>年</w:t>
      </w:r>
      <w:r w:rsidR="00356E0E" w:rsidRPr="00AE0D77">
        <w:rPr>
          <w:szCs w:val="16"/>
        </w:rPr>
        <w:t>5</w:t>
      </w:r>
      <w:r w:rsidR="00356E0E" w:rsidRPr="00AE0D77">
        <w:rPr>
          <w:szCs w:val="16"/>
        </w:rPr>
        <w:t>月底，陸資來臺投資計</w:t>
      </w:r>
      <w:r w:rsidR="00356E0E" w:rsidRPr="00AE0D77">
        <w:rPr>
          <w:kern w:val="2"/>
          <w:szCs w:val="16"/>
        </w:rPr>
        <w:t>1,002</w:t>
      </w:r>
      <w:r w:rsidR="00356E0E" w:rsidRPr="00AE0D77">
        <w:rPr>
          <w:szCs w:val="16"/>
        </w:rPr>
        <w:t>件，金額為</w:t>
      </w:r>
      <w:r w:rsidR="00356E0E" w:rsidRPr="00AE0D77">
        <w:rPr>
          <w:kern w:val="2"/>
          <w:szCs w:val="16"/>
        </w:rPr>
        <w:t>18.3</w:t>
      </w:r>
      <w:r w:rsidR="00356E0E" w:rsidRPr="00AE0D77">
        <w:rPr>
          <w:szCs w:val="16"/>
        </w:rPr>
        <w:t>億美元。</w:t>
      </w:r>
    </w:p>
    <w:p w:rsidR="003838D5" w:rsidRPr="00AE0D77" w:rsidRDefault="00356E0E" w:rsidP="00356E0E">
      <w:pPr>
        <w:pStyle w:val="k3a"/>
        <w:spacing w:beforeLines="0" w:before="0"/>
        <w:ind w:leftChars="119" w:left="569" w:right="0" w:hangingChars="101" w:hanging="283"/>
        <w:rPr>
          <w:szCs w:val="16"/>
        </w:rPr>
      </w:pPr>
      <w:r w:rsidRPr="00AE0D77">
        <w:rPr>
          <w:szCs w:val="16"/>
        </w:rPr>
        <w:t>－</w:t>
      </w:r>
      <w:r w:rsidRPr="00AE0D77">
        <w:rPr>
          <w:szCs w:val="16"/>
        </w:rPr>
        <w:t>2009</w:t>
      </w:r>
      <w:r w:rsidRPr="00AE0D77">
        <w:rPr>
          <w:szCs w:val="16"/>
        </w:rPr>
        <w:t>年</w:t>
      </w:r>
      <w:r w:rsidRPr="00AE0D77">
        <w:rPr>
          <w:szCs w:val="16"/>
        </w:rPr>
        <w:t>6</w:t>
      </w:r>
      <w:r w:rsidRPr="00AE0D77">
        <w:rPr>
          <w:szCs w:val="16"/>
        </w:rPr>
        <w:t>月</w:t>
      </w:r>
      <w:r w:rsidRPr="00AE0D77">
        <w:rPr>
          <w:szCs w:val="16"/>
        </w:rPr>
        <w:t>30</w:t>
      </w:r>
      <w:r w:rsidRPr="00AE0D77">
        <w:rPr>
          <w:szCs w:val="16"/>
        </w:rPr>
        <w:t>日至</w:t>
      </w:r>
      <w:r w:rsidRPr="00AE0D77">
        <w:rPr>
          <w:szCs w:val="16"/>
        </w:rPr>
        <w:t>2017</w:t>
      </w:r>
      <w:r w:rsidRPr="00AE0D77">
        <w:rPr>
          <w:szCs w:val="16"/>
        </w:rPr>
        <w:t>年</w:t>
      </w:r>
      <w:r w:rsidRPr="00AE0D77">
        <w:rPr>
          <w:szCs w:val="16"/>
        </w:rPr>
        <w:t>5</w:t>
      </w:r>
      <w:r w:rsidRPr="00AE0D77">
        <w:rPr>
          <w:szCs w:val="16"/>
        </w:rPr>
        <w:t>月底，核准陸資來臺投資案件，前</w:t>
      </w:r>
      <w:r w:rsidRPr="00AE0D77">
        <w:rPr>
          <w:szCs w:val="16"/>
        </w:rPr>
        <w:t>3</w:t>
      </w:r>
      <w:r w:rsidRPr="00AE0D77">
        <w:rPr>
          <w:szCs w:val="16"/>
        </w:rPr>
        <w:t>名業別分別為批發及零售業</w:t>
      </w:r>
      <w:r w:rsidRPr="00AE0D77">
        <w:rPr>
          <w:kern w:val="2"/>
          <w:szCs w:val="16"/>
        </w:rPr>
        <w:t>5.36</w:t>
      </w:r>
      <w:r w:rsidRPr="00AE0D77">
        <w:rPr>
          <w:szCs w:val="16"/>
        </w:rPr>
        <w:t>億美元（</w:t>
      </w:r>
      <w:r w:rsidRPr="00AE0D77">
        <w:rPr>
          <w:kern w:val="2"/>
          <w:szCs w:val="16"/>
        </w:rPr>
        <w:t>29.24</w:t>
      </w:r>
      <w:r w:rsidRPr="00AE0D77">
        <w:rPr>
          <w:szCs w:val="16"/>
        </w:rPr>
        <w:t>%</w:t>
      </w:r>
      <w:r w:rsidRPr="00AE0D77">
        <w:rPr>
          <w:szCs w:val="16"/>
        </w:rPr>
        <w:t>）、銀行業</w:t>
      </w:r>
      <w:r w:rsidRPr="00AE0D77">
        <w:rPr>
          <w:kern w:val="2"/>
          <w:szCs w:val="16"/>
        </w:rPr>
        <w:t>2.01</w:t>
      </w:r>
      <w:r w:rsidRPr="00AE0D77">
        <w:rPr>
          <w:szCs w:val="16"/>
        </w:rPr>
        <w:t>億美元（</w:t>
      </w:r>
      <w:r w:rsidRPr="00AE0D77">
        <w:rPr>
          <w:kern w:val="2"/>
          <w:szCs w:val="16"/>
        </w:rPr>
        <w:t>10.98</w:t>
      </w:r>
      <w:r w:rsidRPr="00AE0D77">
        <w:rPr>
          <w:szCs w:val="16"/>
        </w:rPr>
        <w:t>%</w:t>
      </w:r>
      <w:r w:rsidRPr="00AE0D77">
        <w:rPr>
          <w:szCs w:val="16"/>
        </w:rPr>
        <w:t>）及電子零組件製造業</w:t>
      </w:r>
      <w:r w:rsidRPr="00AE0D77">
        <w:rPr>
          <w:kern w:val="2"/>
          <w:szCs w:val="16"/>
        </w:rPr>
        <w:t>1.83</w:t>
      </w:r>
      <w:r w:rsidRPr="00AE0D77">
        <w:rPr>
          <w:szCs w:val="16"/>
        </w:rPr>
        <w:t>億美元（</w:t>
      </w:r>
      <w:r w:rsidRPr="00AE0D77">
        <w:rPr>
          <w:kern w:val="2"/>
          <w:szCs w:val="16"/>
        </w:rPr>
        <w:t>9.55</w:t>
      </w:r>
      <w:r w:rsidRPr="00AE0D77">
        <w:rPr>
          <w:szCs w:val="16"/>
        </w:rPr>
        <w:t>%</w:t>
      </w:r>
      <w:r w:rsidRPr="00AE0D77">
        <w:rPr>
          <w:szCs w:val="16"/>
        </w:rPr>
        <w:t>）</w:t>
      </w:r>
    </w:p>
    <w:p w:rsidR="00356E0E" w:rsidRPr="00AE0D77" w:rsidRDefault="00356E0E" w:rsidP="00356E0E">
      <w:pPr>
        <w:pStyle w:val="k3a"/>
        <w:spacing w:beforeLines="0" w:before="0"/>
        <w:ind w:leftChars="119" w:left="569" w:right="0" w:hangingChars="101" w:hanging="283"/>
        <w:rPr>
          <w:szCs w:val="16"/>
        </w:rPr>
      </w:pPr>
    </w:p>
    <w:p w:rsidR="00356E0E" w:rsidRPr="00AE0D77" w:rsidRDefault="00356E0E" w:rsidP="00356E0E">
      <w:pPr>
        <w:pStyle w:val="k3a"/>
        <w:spacing w:beforeLines="0" w:before="0"/>
        <w:ind w:leftChars="119" w:left="569" w:right="0" w:hangingChars="101" w:hanging="283"/>
        <w:jc w:val="center"/>
        <w:rPr>
          <w:b/>
          <w:bCs/>
          <w:sz w:val="32"/>
        </w:rPr>
      </w:pPr>
      <w:r w:rsidRPr="00AE0D77">
        <w:rPr>
          <w:b/>
          <w:bCs/>
        </w:rPr>
        <w:t>表</w:t>
      </w:r>
      <w:r w:rsidRPr="00AE0D77">
        <w:rPr>
          <w:b/>
          <w:bCs/>
        </w:rPr>
        <w:t xml:space="preserve">4-2  </w:t>
      </w:r>
      <w:r w:rsidRPr="00AE0D77">
        <w:rPr>
          <w:b/>
          <w:bCs/>
        </w:rPr>
        <w:t>陸資來臺投資概況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836741" w:rsidRPr="00AE0D77" w:rsidTr="003C2064">
        <w:trPr>
          <w:cantSplit/>
          <w:trHeight w:val="373"/>
          <w:jc w:val="center"/>
        </w:trPr>
        <w:tc>
          <w:tcPr>
            <w:tcW w:w="1533" w:type="dxa"/>
            <w:tcBorders>
              <w:left w:val="nil"/>
            </w:tcBorders>
          </w:tcPr>
          <w:p w:rsidR="00356E0E" w:rsidRPr="00AE0D77" w:rsidRDefault="00356E0E" w:rsidP="00356E0E">
            <w:pPr>
              <w:adjustRightInd w:val="0"/>
              <w:snapToGrid w:val="0"/>
              <w:spacing w:beforeLines="25" w:before="90" w:afterLines="25" w:after="90" w:line="380" w:lineRule="exact"/>
              <w:jc w:val="center"/>
              <w:rPr>
                <w:rFonts w:eastAsia="標楷體"/>
                <w:b/>
                <w:bCs/>
                <w:sz w:val="28"/>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741" w:type="dxa"/>
          </w:tcPr>
          <w:p w:rsidR="00356E0E" w:rsidRPr="00AE0D77" w:rsidRDefault="00356E0E" w:rsidP="00356E0E">
            <w:pPr>
              <w:adjustRightInd w:val="0"/>
              <w:snapToGrid w:val="0"/>
              <w:spacing w:beforeLines="25" w:before="90" w:afterLines="25" w:after="90" w:line="380" w:lineRule="exact"/>
              <w:jc w:val="center"/>
              <w:rPr>
                <w:rFonts w:eastAsia="標楷體"/>
              </w:rPr>
            </w:pPr>
            <w:r w:rsidRPr="00AE0D77">
              <w:rPr>
                <w:rFonts w:eastAsia="標楷體"/>
              </w:rPr>
              <w:t>數量（件）</w:t>
            </w:r>
          </w:p>
        </w:tc>
        <w:tc>
          <w:tcPr>
            <w:tcW w:w="1741" w:type="dxa"/>
            <w:tcBorders>
              <w:right w:val="nil"/>
            </w:tcBorders>
          </w:tcPr>
          <w:p w:rsidR="00356E0E" w:rsidRPr="00AE0D77" w:rsidRDefault="00356E0E" w:rsidP="00356E0E">
            <w:pPr>
              <w:adjustRightInd w:val="0"/>
              <w:snapToGrid w:val="0"/>
              <w:spacing w:beforeLines="25" w:before="90" w:afterLines="25" w:after="90" w:line="380" w:lineRule="exact"/>
              <w:jc w:val="center"/>
              <w:rPr>
                <w:rFonts w:eastAsia="標楷體"/>
              </w:rPr>
            </w:pPr>
            <w:r w:rsidRPr="00AE0D77">
              <w:rPr>
                <w:rFonts w:eastAsia="標楷體"/>
              </w:rPr>
              <w:t>金額（萬美元）</w:t>
            </w:r>
          </w:p>
        </w:tc>
        <w:tc>
          <w:tcPr>
            <w:tcW w:w="1742" w:type="dxa"/>
            <w:tcBorders>
              <w:right w:val="nil"/>
            </w:tcBorders>
          </w:tcPr>
          <w:p w:rsidR="00356E0E" w:rsidRPr="00AE0D77" w:rsidRDefault="00356E0E" w:rsidP="00356E0E">
            <w:pPr>
              <w:adjustRightInd w:val="0"/>
              <w:snapToGrid w:val="0"/>
              <w:spacing w:beforeLines="25" w:before="90" w:afterLines="25" w:after="90" w:line="380" w:lineRule="exact"/>
              <w:jc w:val="center"/>
              <w:rPr>
                <w:rFonts w:eastAsia="標楷體"/>
              </w:rPr>
            </w:pPr>
            <w:r w:rsidRPr="00AE0D77">
              <w:rPr>
                <w:rFonts w:eastAsia="標楷體"/>
              </w:rPr>
              <w:t>變動率（</w:t>
            </w:r>
            <w:r w:rsidRPr="00AE0D77">
              <w:rPr>
                <w:rFonts w:eastAsia="標楷體"/>
              </w:rPr>
              <w:t>%</w:t>
            </w:r>
            <w:r w:rsidRPr="00AE0D77">
              <w:rPr>
                <w:rFonts w:eastAsia="標楷體"/>
              </w:rPr>
              <w:t>）</w:t>
            </w:r>
          </w:p>
        </w:tc>
        <w:tc>
          <w:tcPr>
            <w:tcW w:w="2583" w:type="dxa"/>
            <w:tcBorders>
              <w:right w:val="nil"/>
            </w:tcBorders>
          </w:tcPr>
          <w:p w:rsidR="00356E0E" w:rsidRPr="00AE0D77" w:rsidRDefault="00356E0E" w:rsidP="00356E0E">
            <w:pPr>
              <w:spacing w:beforeLines="25" w:before="90" w:afterLines="25" w:after="90"/>
              <w:rPr>
                <w:rFonts w:eastAsia="標楷體"/>
              </w:rPr>
            </w:pPr>
            <w:r w:rsidRPr="00AE0D77">
              <w:rPr>
                <w:rFonts w:eastAsia="標楷體"/>
              </w:rPr>
              <w:t>平均投資規模（萬美元）</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2012</w:t>
            </w:r>
            <w:r w:rsidRPr="00AE0D77">
              <w:rPr>
                <w:rFonts w:eastAsia="標楷體"/>
              </w:rPr>
              <w:t>年</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138</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33,158.3</w:t>
            </w:r>
          </w:p>
        </w:tc>
        <w:tc>
          <w:tcPr>
            <w:tcW w:w="1742" w:type="dxa"/>
            <w:tcBorders>
              <w:top w:val="nil"/>
              <w:left w:val="nil"/>
              <w:bottom w:val="nil"/>
              <w:right w:val="nil"/>
            </w:tcBorders>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542.3</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240.3</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2013</w:t>
            </w:r>
            <w:r w:rsidRPr="00AE0D77">
              <w:rPr>
                <w:rFonts w:eastAsia="標楷體"/>
              </w:rPr>
              <w:t>年</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138</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34,947.9</w:t>
            </w:r>
          </w:p>
        </w:tc>
        <w:tc>
          <w:tcPr>
            <w:tcW w:w="1742" w:type="dxa"/>
            <w:tcBorders>
              <w:top w:val="nil"/>
              <w:left w:val="nil"/>
              <w:bottom w:val="nil"/>
              <w:right w:val="nil"/>
            </w:tcBorders>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5.4</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253.2</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2014</w:t>
            </w:r>
            <w:r w:rsidRPr="00AE0D77">
              <w:rPr>
                <w:rFonts w:eastAsia="標楷體"/>
              </w:rPr>
              <w:t>年</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136</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33,463.1</w:t>
            </w:r>
          </w:p>
        </w:tc>
        <w:tc>
          <w:tcPr>
            <w:tcW w:w="1742" w:type="dxa"/>
            <w:tcBorders>
              <w:top w:val="nil"/>
              <w:left w:val="nil"/>
              <w:bottom w:val="nil"/>
              <w:right w:val="nil"/>
            </w:tcBorders>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-4.2</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246.1</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2015</w:t>
            </w:r>
            <w:r w:rsidRPr="00AE0D77">
              <w:rPr>
                <w:rFonts w:eastAsia="標楷體"/>
              </w:rPr>
              <w:t>年</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170</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24,406.7</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-27.1</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143.6</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2016</w:t>
            </w:r>
            <w:r w:rsidRPr="00AE0D77">
              <w:rPr>
                <w:rFonts w:eastAsia="標楷體"/>
              </w:rPr>
              <w:t>年</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158</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24,762.8</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1.5</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156.7</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5</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18</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11,110.4</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464.8</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617.2</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6</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11</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419.9</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841.5</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38.2</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7</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11</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836.3</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-68.5</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76.0</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8</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14</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441.1</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-29.4</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31.5</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9</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13</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4,233.2</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103.3</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325.6</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10</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14</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364.1</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-89.4</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26.0</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11</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11</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1,296.6</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41.5</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117.9</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12</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17</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1,866.4</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-81.5</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109.8</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2017</w:t>
            </w:r>
            <w:r w:rsidRPr="00AE0D77">
              <w:rPr>
                <w:rFonts w:eastAsia="標楷體"/>
              </w:rPr>
              <w:t>年</w:t>
            </w:r>
            <w:r w:rsidRPr="00AE0D77">
              <w:rPr>
                <w:rFonts w:eastAsia="標楷體"/>
              </w:rPr>
              <w:t>1~5</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55</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14,356.6</w:t>
            </w:r>
          </w:p>
        </w:tc>
        <w:tc>
          <w:tcPr>
            <w:tcW w:w="1742"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-6.2</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261.0</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1</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13</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3,180.0</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396.5</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244.6</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2</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14</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312.3</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-43.1</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22.3</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3</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11</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1,877.8</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-14.7</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170.7</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4</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8</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66.8</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-91.7</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8.4</w:t>
            </w:r>
          </w:p>
        </w:tc>
      </w:tr>
      <w:tr w:rsidR="00836741" w:rsidRPr="00AE0D77" w:rsidTr="003C2064">
        <w:trPr>
          <w:trHeight w:val="387"/>
          <w:jc w:val="center"/>
        </w:trPr>
        <w:tc>
          <w:tcPr>
            <w:tcW w:w="1533" w:type="dxa"/>
            <w:tcBorders>
              <w:top w:val="nil"/>
              <w:left w:val="nil"/>
              <w:bottom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5</w:t>
            </w:r>
            <w:r w:rsidRPr="00AE0D77">
              <w:rPr>
                <w:rFonts w:eastAsia="標楷體"/>
              </w:rPr>
              <w:t>月</w:t>
            </w:r>
          </w:p>
        </w:tc>
        <w:tc>
          <w:tcPr>
            <w:tcW w:w="1741" w:type="dxa"/>
            <w:tcBorders>
              <w:top w:val="nil"/>
              <w:bottom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9</w:t>
            </w:r>
          </w:p>
        </w:tc>
        <w:tc>
          <w:tcPr>
            <w:tcW w:w="1741" w:type="dxa"/>
            <w:tcBorders>
              <w:top w:val="nil"/>
              <w:left w:val="nil"/>
              <w:bottom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8,919.7</w:t>
            </w:r>
          </w:p>
        </w:tc>
        <w:tc>
          <w:tcPr>
            <w:tcW w:w="1742" w:type="dxa"/>
            <w:tcBorders>
              <w:top w:val="nil"/>
              <w:left w:val="nil"/>
              <w:bottom w:val="nil"/>
              <w:right w:val="nil"/>
            </w:tcBorders>
            <w:vAlign w:val="bottom"/>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-19.7</w:t>
            </w:r>
          </w:p>
        </w:tc>
        <w:tc>
          <w:tcPr>
            <w:tcW w:w="2583" w:type="dxa"/>
            <w:tcBorders>
              <w:top w:val="nil"/>
              <w:left w:val="nil"/>
              <w:bottom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991.1</w:t>
            </w:r>
          </w:p>
        </w:tc>
      </w:tr>
      <w:tr w:rsidR="00836741" w:rsidRPr="00AE0D77" w:rsidTr="003C2064">
        <w:trPr>
          <w:trHeight w:val="387"/>
          <w:jc w:val="center"/>
        </w:trPr>
        <w:tc>
          <w:tcPr>
            <w:tcW w:w="1533" w:type="dxa"/>
            <w:tcBorders>
              <w:top w:val="nil"/>
              <w:left w:val="nil"/>
            </w:tcBorders>
            <w:vAlign w:val="center"/>
          </w:tcPr>
          <w:p w:rsidR="00356E0E" w:rsidRPr="00AE0D77" w:rsidRDefault="00356E0E" w:rsidP="003C2064">
            <w:pPr>
              <w:adjustRightInd w:val="0"/>
              <w:snapToGrid w:val="0"/>
              <w:spacing w:line="380" w:lineRule="exact"/>
              <w:jc w:val="center"/>
              <w:rPr>
                <w:rFonts w:eastAsia="標楷體"/>
              </w:rPr>
            </w:pPr>
            <w:r w:rsidRPr="00AE0D77">
              <w:rPr>
                <w:rFonts w:eastAsia="標楷體"/>
              </w:rPr>
              <w:t>2009</w:t>
            </w:r>
            <w:r w:rsidRPr="00AE0D77">
              <w:rPr>
                <w:rFonts w:eastAsia="標楷體"/>
              </w:rPr>
              <w:t>年以來</w:t>
            </w:r>
          </w:p>
        </w:tc>
        <w:tc>
          <w:tcPr>
            <w:tcW w:w="1741" w:type="dxa"/>
            <w:tcBorders>
              <w:top w:val="nil"/>
              <w:right w:val="nil"/>
            </w:tcBorders>
            <w:vAlign w:val="center"/>
          </w:tcPr>
          <w:p w:rsidR="00356E0E" w:rsidRPr="00AE0D77" w:rsidRDefault="00356E0E" w:rsidP="003C2064">
            <w:pPr>
              <w:adjustRightInd w:val="0"/>
              <w:snapToGrid w:val="0"/>
              <w:spacing w:line="380" w:lineRule="exact"/>
              <w:ind w:rightChars="300" w:right="720"/>
              <w:jc w:val="right"/>
              <w:rPr>
                <w:rFonts w:eastAsia="標楷體"/>
                <w:sz w:val="22"/>
              </w:rPr>
            </w:pPr>
            <w:r w:rsidRPr="00AE0D77">
              <w:rPr>
                <w:rFonts w:eastAsia="標楷體"/>
                <w:sz w:val="22"/>
              </w:rPr>
              <w:t>1,002</w:t>
            </w:r>
          </w:p>
        </w:tc>
        <w:tc>
          <w:tcPr>
            <w:tcW w:w="1741" w:type="dxa"/>
            <w:tcBorders>
              <w:top w:val="nil"/>
              <w:left w:val="nil"/>
              <w:right w:val="nil"/>
            </w:tcBorders>
            <w:vAlign w:val="center"/>
          </w:tcPr>
          <w:p w:rsidR="00356E0E" w:rsidRPr="00AE0D77" w:rsidRDefault="00356E0E" w:rsidP="003C2064">
            <w:pPr>
              <w:adjustRightInd w:val="0"/>
              <w:snapToGrid w:val="0"/>
              <w:spacing w:line="380" w:lineRule="exact"/>
              <w:ind w:rightChars="150" w:right="360"/>
              <w:jc w:val="right"/>
              <w:rPr>
                <w:rFonts w:eastAsia="標楷體"/>
                <w:sz w:val="22"/>
              </w:rPr>
            </w:pPr>
            <w:r w:rsidRPr="00AE0D77">
              <w:rPr>
                <w:rFonts w:eastAsia="標楷體"/>
                <w:sz w:val="22"/>
              </w:rPr>
              <w:t>183,441.0</w:t>
            </w:r>
          </w:p>
        </w:tc>
        <w:tc>
          <w:tcPr>
            <w:tcW w:w="1742" w:type="dxa"/>
            <w:tcBorders>
              <w:top w:val="nil"/>
              <w:left w:val="nil"/>
              <w:right w:val="nil"/>
            </w:tcBorders>
          </w:tcPr>
          <w:p w:rsidR="00356E0E" w:rsidRPr="00AE0D77" w:rsidRDefault="00356E0E" w:rsidP="003C2064">
            <w:pPr>
              <w:adjustRightInd w:val="0"/>
              <w:snapToGrid w:val="0"/>
              <w:spacing w:line="380" w:lineRule="exact"/>
              <w:ind w:rightChars="250" w:right="600"/>
              <w:jc w:val="right"/>
              <w:rPr>
                <w:rFonts w:eastAsia="標楷體"/>
                <w:sz w:val="22"/>
              </w:rPr>
            </w:pPr>
            <w:r w:rsidRPr="00AE0D77">
              <w:rPr>
                <w:rFonts w:eastAsia="標楷體"/>
                <w:sz w:val="22"/>
              </w:rPr>
              <w:t>—</w:t>
            </w:r>
          </w:p>
        </w:tc>
        <w:tc>
          <w:tcPr>
            <w:tcW w:w="2583" w:type="dxa"/>
            <w:tcBorders>
              <w:top w:val="nil"/>
              <w:left w:val="nil"/>
              <w:right w:val="nil"/>
            </w:tcBorders>
          </w:tcPr>
          <w:p w:rsidR="00356E0E" w:rsidRPr="00AE0D77" w:rsidRDefault="00356E0E" w:rsidP="003C2064">
            <w:pPr>
              <w:adjustRightInd w:val="0"/>
              <w:snapToGrid w:val="0"/>
              <w:spacing w:line="380" w:lineRule="exact"/>
              <w:ind w:rightChars="400" w:right="960"/>
              <w:jc w:val="right"/>
              <w:rPr>
                <w:rFonts w:eastAsia="標楷體"/>
                <w:sz w:val="22"/>
              </w:rPr>
            </w:pPr>
            <w:r w:rsidRPr="00AE0D77">
              <w:rPr>
                <w:rFonts w:eastAsia="標楷體"/>
                <w:sz w:val="22"/>
              </w:rPr>
              <w:t>183.1</w:t>
            </w:r>
          </w:p>
        </w:tc>
      </w:tr>
    </w:tbl>
    <w:p w:rsidR="00F70C24" w:rsidRPr="00AE0D77" w:rsidRDefault="005446F7" w:rsidP="00F70C24">
      <w:pPr>
        <w:pStyle w:val="k3a"/>
        <w:spacing w:beforeLines="0" w:before="0" w:line="300" w:lineRule="auto"/>
        <w:ind w:leftChars="118" w:left="283" w:firstLineChars="0" w:firstLine="0"/>
        <w:rPr>
          <w:kern w:val="2"/>
          <w:sz w:val="22"/>
          <w:szCs w:val="22"/>
        </w:rPr>
      </w:pPr>
      <w:r w:rsidRPr="00AE0D77">
        <w:rPr>
          <w:kern w:val="2"/>
          <w:sz w:val="22"/>
          <w:szCs w:val="22"/>
        </w:rPr>
        <w:t>資料來源：經濟部投審會。</w:t>
      </w:r>
    </w:p>
    <w:p w:rsidR="002001D7" w:rsidRPr="00AE0D77" w:rsidRDefault="002001D7" w:rsidP="002001D7">
      <w:pPr>
        <w:pStyle w:val="2"/>
        <w:spacing w:afterLines="50" w:after="180"/>
      </w:pPr>
      <w:bookmarkStart w:id="165" w:name="_Toc415126228"/>
      <w:bookmarkStart w:id="166" w:name="_Toc486347644"/>
      <w:bookmarkEnd w:id="161"/>
      <w:bookmarkEnd w:id="162"/>
      <w:r w:rsidRPr="00AE0D77">
        <w:rPr>
          <w:sz w:val="32"/>
        </w:rPr>
        <w:t>（二）兩岸貿易</w:t>
      </w:r>
      <w:bookmarkEnd w:id="165"/>
      <w:bookmarkEnd w:id="166"/>
    </w:p>
    <w:p w:rsidR="00EB5BD3" w:rsidRPr="00AE0D77" w:rsidRDefault="00356E0E" w:rsidP="00EB5BD3">
      <w:pPr>
        <w:pStyle w:val="af3"/>
        <w:widowControl w:val="0"/>
        <w:tabs>
          <w:tab w:val="left" w:pos="567"/>
        </w:tabs>
        <w:overflowPunct w:val="0"/>
        <w:ind w:leftChars="50" w:left="400" w:rightChars="2066" w:right="4958" w:hangingChars="100" w:hanging="280"/>
        <w:jc w:val="both"/>
        <w:rPr>
          <w:sz w:val="28"/>
          <w:szCs w:val="16"/>
          <w:u w:val="single"/>
        </w:rPr>
      </w:pPr>
      <w:r w:rsidRPr="00AE0D77">
        <w:rPr>
          <w:sz w:val="28"/>
          <w:szCs w:val="16"/>
          <w:lang w:bidi="ar-SA"/>
        </w:rPr>
        <w:drawing>
          <wp:anchor distT="0" distB="0" distL="180340" distR="114300" simplePos="0" relativeHeight="252467712" behindDoc="0" locked="1" layoutInCell="1" allowOverlap="1" wp14:anchorId="6545DB98" wp14:editId="44065153">
            <wp:simplePos x="0" y="0"/>
            <wp:positionH relativeFrom="column">
              <wp:posOffset>2491740</wp:posOffset>
            </wp:positionH>
            <wp:positionV relativeFrom="page">
              <wp:posOffset>809625</wp:posOffset>
            </wp:positionV>
            <wp:extent cx="3905250" cy="2762250"/>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EB5BD3" w:rsidRPr="00AE0D77">
        <w:rPr>
          <w:sz w:val="28"/>
          <w:szCs w:val="16"/>
        </w:rPr>
        <w:t>－</w:t>
      </w:r>
      <w:r w:rsidR="00EB5BD3" w:rsidRPr="00AE0D77">
        <w:rPr>
          <w:noProof w:val="0"/>
          <w:kern w:val="2"/>
          <w:sz w:val="28"/>
          <w:szCs w:val="16"/>
          <w:lang w:bidi="ar-SA"/>
        </w:rPr>
        <w:t>2016</w:t>
      </w:r>
      <w:r w:rsidR="00EB5BD3" w:rsidRPr="00AE0D77">
        <w:rPr>
          <w:noProof w:val="0"/>
          <w:kern w:val="2"/>
          <w:sz w:val="28"/>
          <w:szCs w:val="16"/>
          <w:lang w:bidi="ar-SA"/>
        </w:rPr>
        <w:t>年</w:t>
      </w:r>
      <w:r w:rsidR="00EB5BD3" w:rsidRPr="00AE0D77">
        <w:rPr>
          <w:noProof w:val="0"/>
          <w:kern w:val="2"/>
          <w:sz w:val="28"/>
          <w:szCs w:val="16"/>
          <w:lang w:bidi="ar-SA"/>
        </w:rPr>
        <w:t>1</w:t>
      </w:r>
      <w:r w:rsidR="00EB5BD3" w:rsidRPr="00AE0D77">
        <w:rPr>
          <w:noProof w:val="0"/>
          <w:kern w:val="2"/>
          <w:sz w:val="28"/>
          <w:szCs w:val="16"/>
          <w:lang w:bidi="ar-SA"/>
        </w:rPr>
        <w:t>至</w:t>
      </w:r>
      <w:r w:rsidR="00EB5BD3" w:rsidRPr="00AE0D77">
        <w:rPr>
          <w:noProof w:val="0"/>
          <w:kern w:val="2"/>
          <w:sz w:val="28"/>
          <w:szCs w:val="16"/>
          <w:lang w:bidi="ar-SA"/>
        </w:rPr>
        <w:t>5</w:t>
      </w:r>
      <w:r w:rsidR="00EB5BD3" w:rsidRPr="00AE0D77">
        <w:rPr>
          <w:noProof w:val="0"/>
          <w:kern w:val="2"/>
          <w:sz w:val="28"/>
          <w:szCs w:val="16"/>
          <w:lang w:bidi="ar-SA"/>
        </w:rPr>
        <w:t>月我對中國大陸（含香港）貿易總額為</w:t>
      </w:r>
      <w:r w:rsidR="00EB5BD3" w:rsidRPr="00AE0D77">
        <w:rPr>
          <w:noProof w:val="0"/>
          <w:kern w:val="2"/>
          <w:sz w:val="28"/>
          <w:szCs w:val="16"/>
          <w:lang w:bidi="ar-SA"/>
        </w:rPr>
        <w:t>594.8</w:t>
      </w:r>
      <w:r w:rsidR="00EB5BD3" w:rsidRPr="00AE0D77">
        <w:rPr>
          <w:noProof w:val="0"/>
          <w:kern w:val="2"/>
          <w:sz w:val="28"/>
          <w:szCs w:val="16"/>
          <w:lang w:bidi="ar-SA"/>
        </w:rPr>
        <w:t>億美元，較上年同期減少</w:t>
      </w:r>
      <w:r w:rsidR="00EB5BD3" w:rsidRPr="00AE0D77">
        <w:rPr>
          <w:noProof w:val="0"/>
          <w:kern w:val="2"/>
          <w:sz w:val="28"/>
          <w:szCs w:val="16"/>
          <w:lang w:bidi="ar-SA"/>
        </w:rPr>
        <w:t>11.3%</w:t>
      </w:r>
      <w:r w:rsidR="00EB5BD3" w:rsidRPr="00AE0D77">
        <w:rPr>
          <w:noProof w:val="0"/>
          <w:kern w:val="2"/>
          <w:sz w:val="28"/>
          <w:szCs w:val="16"/>
          <w:lang w:bidi="ar-SA"/>
        </w:rPr>
        <w:t>；其中出口額為</w:t>
      </w:r>
      <w:r w:rsidR="00EB5BD3" w:rsidRPr="00AE0D77">
        <w:rPr>
          <w:noProof w:val="0"/>
          <w:kern w:val="2"/>
          <w:sz w:val="28"/>
          <w:szCs w:val="16"/>
          <w:lang w:bidi="ar-SA"/>
        </w:rPr>
        <w:t>416.9</w:t>
      </w:r>
      <w:r w:rsidR="00EB5BD3" w:rsidRPr="00AE0D77">
        <w:rPr>
          <w:noProof w:val="0"/>
          <w:kern w:val="2"/>
          <w:sz w:val="28"/>
          <w:szCs w:val="16"/>
          <w:lang w:bidi="ar-SA"/>
        </w:rPr>
        <w:t>億美元，減少</w:t>
      </w:r>
      <w:r w:rsidR="00EB5BD3" w:rsidRPr="00AE0D77">
        <w:rPr>
          <w:noProof w:val="0"/>
          <w:kern w:val="2"/>
          <w:sz w:val="28"/>
          <w:szCs w:val="16"/>
          <w:lang w:bidi="ar-SA"/>
        </w:rPr>
        <w:t>12.8%</w:t>
      </w:r>
      <w:r w:rsidR="00EB5BD3" w:rsidRPr="00AE0D77">
        <w:rPr>
          <w:noProof w:val="0"/>
          <w:kern w:val="2"/>
          <w:sz w:val="28"/>
          <w:szCs w:val="16"/>
          <w:lang w:bidi="ar-SA"/>
        </w:rPr>
        <w:t>；進口額為</w:t>
      </w:r>
      <w:r w:rsidR="00EB5BD3" w:rsidRPr="00AE0D77">
        <w:rPr>
          <w:noProof w:val="0"/>
          <w:kern w:val="2"/>
          <w:sz w:val="28"/>
          <w:szCs w:val="16"/>
          <w:lang w:bidi="ar-SA"/>
        </w:rPr>
        <w:t>177.9</w:t>
      </w:r>
      <w:r w:rsidR="00EB5BD3" w:rsidRPr="00AE0D77">
        <w:rPr>
          <w:noProof w:val="0"/>
          <w:kern w:val="2"/>
          <w:sz w:val="28"/>
          <w:szCs w:val="16"/>
          <w:lang w:bidi="ar-SA"/>
        </w:rPr>
        <w:t>億美元，減少</w:t>
      </w:r>
      <w:r w:rsidR="00EB5BD3" w:rsidRPr="00AE0D77">
        <w:rPr>
          <w:noProof w:val="0"/>
          <w:kern w:val="2"/>
          <w:sz w:val="28"/>
          <w:szCs w:val="16"/>
          <w:lang w:bidi="ar-SA"/>
        </w:rPr>
        <w:t>7.7%</w:t>
      </w:r>
      <w:r w:rsidR="00EB5BD3" w:rsidRPr="00AE0D77">
        <w:rPr>
          <w:noProof w:val="0"/>
          <w:kern w:val="2"/>
          <w:sz w:val="28"/>
          <w:szCs w:val="16"/>
          <w:lang w:bidi="ar-SA"/>
        </w:rPr>
        <w:t>；貿易出超為</w:t>
      </w:r>
      <w:r w:rsidR="00EB5BD3" w:rsidRPr="00AE0D77">
        <w:rPr>
          <w:noProof w:val="0"/>
          <w:kern w:val="2"/>
          <w:sz w:val="28"/>
          <w:szCs w:val="16"/>
          <w:lang w:bidi="ar-SA"/>
        </w:rPr>
        <w:t>239.1</w:t>
      </w:r>
      <w:r w:rsidR="00EB5BD3" w:rsidRPr="00AE0D77">
        <w:rPr>
          <w:noProof w:val="0"/>
          <w:kern w:val="2"/>
          <w:sz w:val="28"/>
          <w:szCs w:val="16"/>
          <w:lang w:bidi="ar-SA"/>
        </w:rPr>
        <w:t>億美元，減少</w:t>
      </w:r>
      <w:r w:rsidR="00EB5BD3" w:rsidRPr="00AE0D77">
        <w:rPr>
          <w:noProof w:val="0"/>
          <w:kern w:val="2"/>
          <w:sz w:val="28"/>
          <w:szCs w:val="16"/>
          <w:lang w:bidi="ar-SA"/>
        </w:rPr>
        <w:t>16.3%</w:t>
      </w:r>
      <w:r w:rsidR="00EB5BD3" w:rsidRPr="00AE0D77">
        <w:rPr>
          <w:noProof w:val="0"/>
          <w:kern w:val="2"/>
          <w:sz w:val="28"/>
          <w:szCs w:val="16"/>
          <w:lang w:bidi="ar-SA"/>
        </w:rPr>
        <w:t>。</w:t>
      </w:r>
    </w:p>
    <w:p w:rsidR="00EB5BD3" w:rsidRPr="00AE0D77" w:rsidRDefault="00EB5BD3" w:rsidP="00EB5BD3">
      <w:pPr>
        <w:pStyle w:val="k3a"/>
        <w:spacing w:beforeLines="0" w:before="0" w:line="300" w:lineRule="auto"/>
        <w:ind w:leftChars="0" w:left="0" w:firstLineChars="0" w:firstLine="0"/>
        <w:rPr>
          <w:vanish/>
        </w:rPr>
      </w:pPr>
    </w:p>
    <w:p w:rsidR="00EB5BD3" w:rsidRPr="00AE0D77" w:rsidRDefault="00EB5BD3" w:rsidP="00EB5BD3">
      <w:pPr>
        <w:rPr>
          <w:rFonts w:eastAsia="標楷體"/>
          <w:vanish/>
          <w:sz w:val="28"/>
        </w:rPr>
      </w:pPr>
    </w:p>
    <w:p w:rsidR="00EB5BD3" w:rsidRPr="00AE0D77" w:rsidRDefault="00EB5BD3" w:rsidP="00EB5BD3">
      <w:pPr>
        <w:rPr>
          <w:rFonts w:eastAsia="標楷體"/>
          <w:vanish/>
          <w:sz w:val="28"/>
        </w:rPr>
      </w:pPr>
    </w:p>
    <w:p w:rsidR="00EB5BD3" w:rsidRPr="00AE0D77" w:rsidRDefault="00EB5BD3" w:rsidP="00EB5BD3">
      <w:pPr>
        <w:rPr>
          <w:rFonts w:eastAsia="標楷體"/>
          <w:vanish/>
          <w:sz w:val="28"/>
        </w:rPr>
      </w:pPr>
    </w:p>
    <w:p w:rsidR="00EB5BD3" w:rsidRPr="00AE0D77" w:rsidRDefault="00EB5BD3" w:rsidP="00EB5BD3">
      <w:pPr>
        <w:rPr>
          <w:rFonts w:eastAsia="標楷體"/>
          <w:vanish/>
          <w:sz w:val="28"/>
        </w:rPr>
      </w:pPr>
    </w:p>
    <w:p w:rsidR="00EB5BD3" w:rsidRPr="00AE0D77" w:rsidRDefault="00EB5BD3" w:rsidP="00EB5BD3">
      <w:pPr>
        <w:pStyle w:val="z-"/>
        <w:pBdr>
          <w:top w:val="none" w:sz="0" w:space="0" w:color="auto"/>
        </w:pBdr>
        <w:rPr>
          <w:rFonts w:ascii="Times New Roman" w:eastAsia="標楷體" w:hAnsi="Times New Roman" w:cs="Times New Roman"/>
          <w:color w:val="auto"/>
          <w:sz w:val="28"/>
        </w:rPr>
      </w:pPr>
      <w:r w:rsidRPr="00AE0D77">
        <w:rPr>
          <w:rFonts w:ascii="Times New Roman" w:eastAsia="標楷體" w:hAnsi="Times New Roman" w:cs="Times New Roman"/>
          <w:color w:val="auto"/>
          <w:sz w:val="28"/>
        </w:rPr>
        <w:t>表單的底部</w:t>
      </w:r>
    </w:p>
    <w:p w:rsidR="00EB5BD3" w:rsidRPr="00AE0D77" w:rsidRDefault="00EB5BD3" w:rsidP="00EB5BD3">
      <w:pPr>
        <w:rPr>
          <w:rFonts w:eastAsia="標楷體"/>
          <w:vanish/>
          <w:sz w:val="28"/>
        </w:rPr>
      </w:pPr>
    </w:p>
    <w:p w:rsidR="00EB5BD3" w:rsidRPr="00AE0D77" w:rsidRDefault="00EB5BD3" w:rsidP="00EB5BD3">
      <w:pPr>
        <w:rPr>
          <w:rFonts w:eastAsia="標楷體"/>
          <w:vanish/>
          <w:sz w:val="28"/>
        </w:rPr>
      </w:pPr>
    </w:p>
    <w:p w:rsidR="00EB5BD3" w:rsidRPr="00AE0D77" w:rsidRDefault="00EB5BD3" w:rsidP="00EB5BD3">
      <w:pPr>
        <w:rPr>
          <w:rFonts w:eastAsia="標楷體"/>
          <w:vanish/>
          <w:sz w:val="28"/>
        </w:rPr>
      </w:pPr>
    </w:p>
    <w:p w:rsidR="00EB5BD3" w:rsidRPr="00AE0D77" w:rsidRDefault="00EB5BD3" w:rsidP="00EB5BD3">
      <w:pPr>
        <w:pStyle w:val="z-"/>
        <w:pBdr>
          <w:top w:val="none" w:sz="0" w:space="0" w:color="auto"/>
        </w:pBdr>
        <w:rPr>
          <w:rFonts w:ascii="Times New Roman" w:eastAsia="標楷體" w:hAnsi="Times New Roman" w:cs="Times New Roman"/>
          <w:color w:val="auto"/>
          <w:sz w:val="28"/>
        </w:rPr>
      </w:pPr>
      <w:r w:rsidRPr="00AE0D77">
        <w:rPr>
          <w:rFonts w:ascii="Times New Roman" w:eastAsia="標楷體" w:hAnsi="Times New Roman" w:cs="Times New Roman"/>
          <w:color w:val="auto"/>
          <w:sz w:val="28"/>
        </w:rPr>
        <w:t>表單的底部</w:t>
      </w:r>
    </w:p>
    <w:p w:rsidR="00EB5BD3" w:rsidRPr="00AE0D77" w:rsidRDefault="00EB5BD3" w:rsidP="00EB5BD3">
      <w:pPr>
        <w:snapToGrid w:val="0"/>
        <w:spacing w:afterLines="50" w:after="180" w:line="400" w:lineRule="exact"/>
        <w:ind w:right="-573"/>
        <w:jc w:val="right"/>
        <w:rPr>
          <w:rFonts w:eastAsia="標楷體"/>
          <w:b/>
          <w:bCs/>
          <w:sz w:val="28"/>
        </w:rPr>
      </w:pPr>
      <w:r w:rsidRPr="00AE0D77">
        <w:rPr>
          <w:rFonts w:eastAsia="標楷體"/>
          <w:noProof/>
          <w:spacing w:val="-4"/>
          <w:sz w:val="28"/>
        </w:rPr>
        <mc:AlternateContent>
          <mc:Choice Requires="wpg">
            <w:drawing>
              <wp:anchor distT="0" distB="0" distL="114300" distR="114300" simplePos="0" relativeHeight="252426752" behindDoc="0" locked="0" layoutInCell="1" allowOverlap="1" wp14:anchorId="416AC7B3" wp14:editId="387C031B">
                <wp:simplePos x="0" y="0"/>
                <wp:positionH relativeFrom="column">
                  <wp:posOffset>-2880360</wp:posOffset>
                </wp:positionH>
                <wp:positionV relativeFrom="paragraph">
                  <wp:posOffset>552450</wp:posOffset>
                </wp:positionV>
                <wp:extent cx="571500" cy="342900"/>
                <wp:effectExtent l="0" t="0" r="3810" b="38100"/>
                <wp:wrapNone/>
                <wp:docPr id="485" name="群組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A67" w:rsidRDefault="006D5A67" w:rsidP="00EB5BD3">
                              <w:pPr>
                                <w:spacing w:line="200" w:lineRule="exact"/>
                                <w:rPr>
                                  <w:b/>
                                  <w:bCs/>
                                  <w:color w:val="000000"/>
                                  <w:sz w:val="16"/>
                                </w:rPr>
                              </w:pPr>
                              <w:r>
                                <w:rPr>
                                  <w:rFonts w:hint="eastAsia"/>
                                  <w:b/>
                                  <w:bCs/>
                                  <w:color w:val="000000"/>
                                  <w:sz w:val="16"/>
                                </w:rPr>
                                <w:t>進口成長率</w:t>
                              </w:r>
                            </w:p>
                            <w:p w:rsidR="006D5A67" w:rsidRDefault="006D5A67" w:rsidP="00EB5BD3">
                              <w:pPr>
                                <w:spacing w:line="200" w:lineRule="exact"/>
                                <w:rPr>
                                  <w:sz w:val="14"/>
                                </w:rPr>
                              </w:pPr>
                            </w:p>
                          </w:txbxContent>
                        </wps:txbx>
                        <wps:bodyPr rot="0" vert="horz" wrap="square" lIns="0" tIns="0" rIns="0" bIns="0" anchor="t" anchorCtr="0" upright="1">
                          <a:noAutofit/>
                        </wps:bodyPr>
                      </wps:wsp>
                      <wps:wsp>
                        <wps:cNvPr id="49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5" o:spid="_x0000_s1037" style="position:absolute;left:0;text-align:left;margin-left:-226.8pt;margin-top:43.5pt;width:45pt;height:27pt;z-index:252426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9WcV+pcDAADy&#10;CAAADgAAAAAAAAAAAAAAAAAuAgAAZHJzL2Uyb0RvYy54bWxQSwECLQAUAAYACAAAACEA5YrKmOEA&#10;AAAMAQAADwAAAAAAAAAAAAAAAADxBQAAZHJzL2Rvd25yZXYueG1sUEsFBgAAAAAEAAQA8wAAAP8G&#10;A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6D5A67" w:rsidRDefault="006D5A67" w:rsidP="00EB5BD3">
                        <w:pPr>
                          <w:spacing w:line="200" w:lineRule="exact"/>
                          <w:rPr>
                            <w:b/>
                            <w:bCs/>
                            <w:color w:val="000000"/>
                            <w:sz w:val="16"/>
                          </w:rPr>
                        </w:pPr>
                        <w:r>
                          <w:rPr>
                            <w:rFonts w:hint="eastAsia"/>
                            <w:b/>
                            <w:bCs/>
                            <w:color w:val="000000"/>
                            <w:sz w:val="16"/>
                          </w:rPr>
                          <w:t>進口成長率</w:t>
                        </w:r>
                      </w:p>
                      <w:p w:rsidR="006D5A67" w:rsidRDefault="006D5A67" w:rsidP="00EB5BD3">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EXr8AAADcAAAADwAAAGRycy9kb3ducmV2LnhtbERPzYrCMBC+L/gOYQRva+pSylpNiygL&#10;7mmx+gBDM7bFZlKSaOvbbw6Cx4/vf1tOphcPcr6zrGC1TEAQ11Z33Ci4nH8+v0H4gKyxt0wKnuSh&#10;LGYfW8y1HflEjyo0Ioawz1FBG8KQS+nrlgz6pR2II3e1zmCI0DVSOxxjuOnlV5Jk0mDHsaHFgfYt&#10;1bfqbhScLqP5m7LfJDBVsj5k6S11R6UW82m3ARFoCm/xy33UCtJ1nB/PxCM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PEXr8AAADcAAAADwAAAAAAAAAAAAAAAACh&#10;AgAAZHJzL2Rvd25yZXYueG1sUEsFBgAAAAAEAAQA+QAAAI0DAAAAAA==&#10;">
                  <v:stroke endarrow="classic"/>
                </v:line>
              </v:group>
            </w:pict>
          </mc:Fallback>
        </mc:AlternateContent>
      </w:r>
      <w:r w:rsidRPr="00AE0D77">
        <w:rPr>
          <w:rFonts w:eastAsia="標楷體"/>
          <w:b/>
          <w:bCs/>
          <w:sz w:val="28"/>
        </w:rPr>
        <w:t xml:space="preserve">                  </w:t>
      </w:r>
    </w:p>
    <w:p w:rsidR="00356E0E" w:rsidRPr="00AE0D77" w:rsidRDefault="00356E0E" w:rsidP="00356E0E">
      <w:pPr>
        <w:snapToGrid w:val="0"/>
        <w:spacing w:afterLines="50" w:after="180" w:line="400" w:lineRule="exact"/>
        <w:ind w:right="-573"/>
        <w:jc w:val="right"/>
        <w:rPr>
          <w:rFonts w:eastAsia="標楷體"/>
        </w:rPr>
      </w:pPr>
      <w:r w:rsidRPr="00AE0D77">
        <w:rPr>
          <w:rFonts w:eastAsia="標楷體"/>
          <w:b/>
          <w:bCs/>
          <w:sz w:val="28"/>
        </w:rPr>
        <w:t>表</w:t>
      </w:r>
      <w:r w:rsidRPr="00AE0D77">
        <w:rPr>
          <w:rFonts w:eastAsia="標楷體"/>
          <w:b/>
          <w:bCs/>
          <w:sz w:val="28"/>
        </w:rPr>
        <w:t xml:space="preserve">4-3 </w:t>
      </w:r>
      <w:r w:rsidRPr="00AE0D77">
        <w:rPr>
          <w:rFonts w:eastAsia="標楷體"/>
          <w:b/>
          <w:bCs/>
          <w:sz w:val="28"/>
        </w:rPr>
        <w:t>兩岸貿易概況</w:t>
      </w:r>
      <w:r w:rsidRPr="00AE0D77">
        <w:rPr>
          <w:rFonts w:eastAsia="標楷體"/>
          <w:b/>
          <w:bCs/>
          <w:sz w:val="28"/>
        </w:rPr>
        <w:t xml:space="preserve">             </w:t>
      </w:r>
      <w:r w:rsidRPr="00AE0D77">
        <w:rPr>
          <w:rFonts w:eastAsia="標楷體"/>
        </w:rPr>
        <w:t>單位：億美元；</w:t>
      </w:r>
      <w:r w:rsidRPr="00AE0D77">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836741" w:rsidRPr="00AE0D77" w:rsidTr="003C2064">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356E0E" w:rsidRPr="00AE0D77" w:rsidRDefault="00356E0E" w:rsidP="003C2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標楷體"/>
                <w:spacing w:val="0"/>
                <w:szCs w:val="24"/>
              </w:rPr>
            </w:pPr>
            <w:r w:rsidRPr="00AE0D77">
              <w:rPr>
                <w:rFonts w:eastAsia="標楷體"/>
                <w:spacing w:val="0"/>
                <w:szCs w:val="24"/>
              </w:rPr>
              <w:t>年</w:t>
            </w:r>
            <w:r w:rsidRPr="00AE0D77">
              <w:rPr>
                <w:rFonts w:eastAsia="標楷體"/>
                <w:spacing w:val="0"/>
                <w:szCs w:val="24"/>
              </w:rPr>
              <w:t>(</w:t>
            </w:r>
            <w:r w:rsidRPr="00AE0D77">
              <w:rPr>
                <w:rFonts w:eastAsia="標楷體"/>
                <w:spacing w:val="0"/>
                <w:szCs w:val="24"/>
              </w:rPr>
              <w:t>月</w:t>
            </w:r>
            <w:r w:rsidRPr="00AE0D77">
              <w:rPr>
                <w:rFonts w:eastAsia="標楷體"/>
                <w:spacing w:val="0"/>
                <w:szCs w:val="24"/>
              </w:rPr>
              <w:t>)</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貿</w:t>
            </w:r>
            <w:r w:rsidRPr="00AE0D77">
              <w:rPr>
                <w:rFonts w:eastAsia="標楷體"/>
              </w:rPr>
              <w:t xml:space="preserve"> </w:t>
            </w:r>
            <w:r w:rsidRPr="00AE0D77">
              <w:rPr>
                <w:rFonts w:eastAsia="標楷體"/>
              </w:rPr>
              <w:t>易</w:t>
            </w:r>
            <w:r w:rsidRPr="00AE0D77">
              <w:rPr>
                <w:rFonts w:eastAsia="標楷體"/>
              </w:rPr>
              <w:t xml:space="preserve"> </w:t>
            </w:r>
            <w:r w:rsidRPr="00AE0D77">
              <w:rPr>
                <w:rFonts w:eastAsia="標楷體"/>
              </w:rPr>
              <w:t>總</w:t>
            </w:r>
            <w:r w:rsidRPr="00AE0D77">
              <w:rPr>
                <w:rFonts w:eastAsia="標楷體"/>
              </w:rPr>
              <w:t xml:space="preserve"> </w:t>
            </w:r>
            <w:r w:rsidRPr="00AE0D77">
              <w:rPr>
                <w:rFonts w:eastAsia="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對中國大陸</w:t>
            </w:r>
            <w:r w:rsidRPr="00AE0D77">
              <w:rPr>
                <w:rFonts w:eastAsia="標楷體"/>
              </w:rPr>
              <w:br/>
            </w:r>
            <w:r w:rsidRPr="00AE0D77">
              <w:rPr>
                <w:rFonts w:eastAsia="標楷體"/>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自中國大陸</w:t>
            </w:r>
            <w:r w:rsidRPr="00AE0D77">
              <w:rPr>
                <w:rFonts w:eastAsia="標楷體"/>
              </w:rPr>
              <w:br/>
            </w:r>
            <w:r w:rsidRPr="00AE0D77">
              <w:rPr>
                <w:rFonts w:eastAsia="標楷體"/>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出入超</w:t>
            </w:r>
          </w:p>
        </w:tc>
      </w:tr>
      <w:tr w:rsidR="00836741" w:rsidRPr="00AE0D77" w:rsidTr="003C2064">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356E0E" w:rsidRPr="00AE0D77" w:rsidRDefault="00356E0E" w:rsidP="003C2064">
            <w:pPr>
              <w:rPr>
                <w:rFonts w:eastAsia="標楷體"/>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金</w:t>
            </w:r>
            <w:r w:rsidRPr="00AE0D77">
              <w:rPr>
                <w:rFonts w:eastAsia="標楷體"/>
                <w:sz w:val="22"/>
                <w:szCs w:val="22"/>
              </w:rPr>
              <w:t xml:space="preserve">  </w:t>
            </w:r>
            <w:r w:rsidRPr="00AE0D77">
              <w:rPr>
                <w:rFonts w:eastAsia="標楷體"/>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比</w:t>
            </w:r>
            <w:r w:rsidRPr="00AE0D77">
              <w:rPr>
                <w:rFonts w:eastAsia="標楷體"/>
                <w:sz w:val="22"/>
                <w:szCs w:val="22"/>
              </w:rPr>
              <w:t xml:space="preserve"> </w:t>
            </w:r>
            <w:r w:rsidRPr="00AE0D77">
              <w:rPr>
                <w:rFonts w:eastAsia="標楷體"/>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金</w:t>
            </w:r>
            <w:r w:rsidRPr="00AE0D77">
              <w:rPr>
                <w:rFonts w:eastAsia="標楷體"/>
                <w:sz w:val="22"/>
                <w:szCs w:val="22"/>
              </w:rPr>
              <w:t xml:space="preserve"> </w:t>
            </w:r>
            <w:r w:rsidRPr="00AE0D77">
              <w:rPr>
                <w:rFonts w:eastAsia="標楷體"/>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比</w:t>
            </w:r>
            <w:r w:rsidRPr="00AE0D77">
              <w:rPr>
                <w:rFonts w:eastAsia="標楷體"/>
                <w:sz w:val="22"/>
                <w:szCs w:val="22"/>
              </w:rPr>
              <w:t xml:space="preserve"> </w:t>
            </w:r>
            <w:r w:rsidRPr="00AE0D77">
              <w:rPr>
                <w:rFonts w:eastAsia="標楷體"/>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金</w:t>
            </w:r>
            <w:r w:rsidRPr="00AE0D77">
              <w:rPr>
                <w:rFonts w:eastAsia="標楷體"/>
                <w:sz w:val="22"/>
                <w:szCs w:val="22"/>
              </w:rPr>
              <w:t xml:space="preserve">  </w:t>
            </w:r>
            <w:r w:rsidRPr="00AE0D77">
              <w:rPr>
                <w:rFonts w:eastAsia="標楷體"/>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比</w:t>
            </w:r>
            <w:r w:rsidRPr="00AE0D77">
              <w:rPr>
                <w:rFonts w:eastAsia="標楷體"/>
                <w:sz w:val="22"/>
                <w:szCs w:val="22"/>
              </w:rPr>
              <w:t xml:space="preserve"> </w:t>
            </w:r>
            <w:r w:rsidRPr="00AE0D77">
              <w:rPr>
                <w:rFonts w:eastAsia="標楷體"/>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金</w:t>
            </w:r>
            <w:r w:rsidRPr="00AE0D77">
              <w:rPr>
                <w:rFonts w:eastAsia="標楷體"/>
                <w:sz w:val="22"/>
                <w:szCs w:val="22"/>
              </w:rPr>
              <w:t xml:space="preserve">  </w:t>
            </w:r>
            <w:r w:rsidRPr="00AE0D77">
              <w:rPr>
                <w:rFonts w:eastAsia="標楷體"/>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356E0E" w:rsidRPr="00AE0D77" w:rsidRDefault="00356E0E" w:rsidP="003C2064">
            <w:pPr>
              <w:jc w:val="center"/>
              <w:rPr>
                <w:rFonts w:eastAsia="標楷體"/>
                <w:sz w:val="22"/>
                <w:szCs w:val="22"/>
              </w:rPr>
            </w:pPr>
            <w:r w:rsidRPr="00AE0D77">
              <w:rPr>
                <w:rFonts w:eastAsia="標楷體"/>
                <w:sz w:val="22"/>
                <w:szCs w:val="22"/>
              </w:rPr>
              <w:t>年增率</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2012</w:t>
            </w:r>
            <w:r w:rsidRPr="00AE0D77">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1,651.8</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-3.8</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28.3</w:t>
            </w:r>
          </w:p>
        </w:tc>
        <w:tc>
          <w:tcPr>
            <w:tcW w:w="895"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1211.6</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-3.8</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39.5</w:t>
            </w:r>
          </w:p>
        </w:tc>
        <w:tc>
          <w:tcPr>
            <w:tcW w:w="782"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440.2</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-3.6</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15.9</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771.5</w:t>
            </w:r>
          </w:p>
        </w:tc>
        <w:tc>
          <w:tcPr>
            <w:tcW w:w="848"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-3.9</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2013</w:t>
            </w:r>
            <w:r w:rsidRPr="00AE0D77">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1,702.4</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3.1</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28.9</w:t>
            </w:r>
          </w:p>
        </w:tc>
        <w:tc>
          <w:tcPr>
            <w:tcW w:w="895"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1253.1</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3.4</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40.2</w:t>
            </w:r>
          </w:p>
        </w:tc>
        <w:tc>
          <w:tcPr>
            <w:tcW w:w="782"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449.3</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2.1</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16.2</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803.8</w:t>
            </w:r>
          </w:p>
        </w:tc>
        <w:tc>
          <w:tcPr>
            <w:tcW w:w="848"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4.2</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2014</w:t>
            </w:r>
            <w:r w:rsidRPr="00AE0D77">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1,795.2</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5.5</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29.8</w:t>
            </w:r>
          </w:p>
        </w:tc>
        <w:tc>
          <w:tcPr>
            <w:tcW w:w="895"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1285.3</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2.6</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40.2</w:t>
            </w:r>
          </w:p>
        </w:tc>
        <w:tc>
          <w:tcPr>
            <w:tcW w:w="782"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509.9</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13.5</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18.1</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775.4</w:t>
            </w:r>
          </w:p>
        </w:tc>
        <w:tc>
          <w:tcPr>
            <w:tcW w:w="848"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-3.5</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2015</w:t>
            </w:r>
            <w:r w:rsidRPr="00AE0D77">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1,592.7</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-11.3</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30.5</w:t>
            </w:r>
          </w:p>
        </w:tc>
        <w:tc>
          <w:tcPr>
            <w:tcW w:w="895"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1125.4</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-12.4</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39.4</w:t>
            </w:r>
          </w:p>
        </w:tc>
        <w:tc>
          <w:tcPr>
            <w:tcW w:w="782"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467.3</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-8.3</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19.7</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658.1</w:t>
            </w:r>
          </w:p>
        </w:tc>
        <w:tc>
          <w:tcPr>
            <w:tcW w:w="848"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-15.1</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2016</w:t>
            </w:r>
            <w:r w:rsidRPr="00AE0D77">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1,576.3</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-1.0</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30.8</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1,123.0</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-0.2</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40.0</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453.3</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19.6</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669.7</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1.8</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133.4</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-7.4</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30.6</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93.5</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-10.2</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39.7</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40.0</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-0.3</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19.9</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53.5</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-16.3</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6</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124.2</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-4.2</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29.4</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86.5</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-4.5</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37.8</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37.8</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-3.6</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19.6</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48.7</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-5.2</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7</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134.7</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2.7</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30.2</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96.0</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3.4</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39.8</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38.7</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0.9</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18.9</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57.2</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5.2</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8</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139.9</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2.3</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30.9</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99.6</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3.5</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40.4</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40.3</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-0.6</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19.5</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59.3</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6.2</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9</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129.8</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3.5</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31.8</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93.9</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6.2</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41.6</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35.8</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-2.8</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19.7</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58.1</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12.6</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10</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155.1</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12.3</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31.6</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113.6</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14.9</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42.5</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41.5</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5.8</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18.6</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72.1</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21.0</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11</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149.7</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13.4</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32.3</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107.1</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19.0</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42.3</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42.6</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1.3</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20.2</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64.4</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34.4</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12</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148.3</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15.3</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31.9</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109.6</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21.4</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42.7</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38.7</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0.8</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18.6</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71.0</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36.7</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2017</w:t>
            </w:r>
            <w:r w:rsidRPr="00AE0D77">
              <w:rPr>
                <w:rFonts w:eastAsia="標楷體"/>
              </w:rPr>
              <w:t>年</w:t>
            </w:r>
            <w:r w:rsidRPr="00AE0D77">
              <w:rPr>
                <w:rFonts w:eastAsia="標楷體"/>
              </w:rPr>
              <w:t>1~4</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682.4</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14.7</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30.1</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483.6</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16.0</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39.7</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198.8</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11.8</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19.0</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284.8</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19.2</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131.9</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4.1</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30.0</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92.1</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7.6</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38.8</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39.8</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-3.1</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19.6</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52.3</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17.5</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2</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124.4</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44.7</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29.6</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93.4</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48.8</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41.2</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31.1</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33.7</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16.1</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62.3</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57.8</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3</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145.9</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15.5</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30.7</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102.7</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16.8</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39.9</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43.3</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12.8</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19.9</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59.4</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19.8</w:t>
            </w:r>
          </w:p>
        </w:tc>
      </w:tr>
      <w:tr w:rsidR="00836741" w:rsidRPr="00AE0D77" w:rsidTr="003C206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w:t>
            </w:r>
            <w:r w:rsidRPr="00AE0D77">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136.2</w:t>
            </w:r>
          </w:p>
        </w:tc>
        <w:tc>
          <w:tcPr>
            <w:tcW w:w="79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11.3</w:t>
            </w:r>
          </w:p>
        </w:tc>
        <w:tc>
          <w:tcPr>
            <w:tcW w:w="631"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29.7</w:t>
            </w:r>
          </w:p>
        </w:tc>
        <w:tc>
          <w:tcPr>
            <w:tcW w:w="895"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96.1</w:t>
            </w:r>
          </w:p>
        </w:tc>
        <w:tc>
          <w:tcPr>
            <w:tcW w:w="84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10.3</w:t>
            </w:r>
          </w:p>
        </w:tc>
        <w:tc>
          <w:tcPr>
            <w:tcW w:w="69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39.5</w:t>
            </w:r>
          </w:p>
        </w:tc>
        <w:tc>
          <w:tcPr>
            <w:tcW w:w="78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40.1</w:t>
            </w:r>
          </w:p>
        </w:tc>
        <w:tc>
          <w:tcPr>
            <w:tcW w:w="859"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13.8</w:t>
            </w:r>
          </w:p>
        </w:tc>
        <w:tc>
          <w:tcPr>
            <w:tcW w:w="720"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18.6</w:t>
            </w:r>
          </w:p>
        </w:tc>
        <w:tc>
          <w:tcPr>
            <w:tcW w:w="772" w:type="dxa"/>
            <w:tcBorders>
              <w:left w:val="nil"/>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56.0</w:t>
            </w:r>
          </w:p>
        </w:tc>
        <w:tc>
          <w:tcPr>
            <w:tcW w:w="848" w:type="dxa"/>
            <w:tcBorders>
              <w:left w:val="nil"/>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7.8</w:t>
            </w:r>
          </w:p>
        </w:tc>
      </w:tr>
      <w:tr w:rsidR="00836741" w:rsidRPr="00AE0D77" w:rsidTr="003C2064">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w:t>
            </w:r>
            <w:r w:rsidRPr="00AE0D77">
              <w:rPr>
                <w:rFonts w:eastAsia="標楷體"/>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144.0</w:t>
            </w:r>
          </w:p>
        </w:tc>
        <w:tc>
          <w:tcPr>
            <w:tcW w:w="798" w:type="dxa"/>
            <w:tcBorders>
              <w:left w:val="nil"/>
              <w:bottom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8.0</w:t>
            </w:r>
          </w:p>
        </w:tc>
        <w:tc>
          <w:tcPr>
            <w:tcW w:w="631" w:type="dxa"/>
            <w:tcBorders>
              <w:left w:val="nil"/>
              <w:bottom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30.3</w:t>
            </w:r>
          </w:p>
        </w:tc>
        <w:tc>
          <w:tcPr>
            <w:tcW w:w="895" w:type="dxa"/>
            <w:tcBorders>
              <w:left w:val="nil"/>
              <w:bottom w:val="single" w:sz="4" w:space="0" w:color="auto"/>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99.4</w:t>
            </w:r>
          </w:p>
        </w:tc>
        <w:tc>
          <w:tcPr>
            <w:tcW w:w="840" w:type="dxa"/>
            <w:tcBorders>
              <w:left w:val="nil"/>
              <w:bottom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6.4</w:t>
            </w:r>
          </w:p>
        </w:tc>
        <w:tc>
          <w:tcPr>
            <w:tcW w:w="699" w:type="dxa"/>
            <w:tcBorders>
              <w:left w:val="nil"/>
              <w:bottom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39.0</w:t>
            </w:r>
          </w:p>
        </w:tc>
        <w:tc>
          <w:tcPr>
            <w:tcW w:w="782" w:type="dxa"/>
            <w:tcBorders>
              <w:left w:val="nil"/>
              <w:bottom w:val="single" w:sz="4" w:space="0" w:color="auto"/>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44.6</w:t>
            </w:r>
          </w:p>
        </w:tc>
        <w:tc>
          <w:tcPr>
            <w:tcW w:w="859" w:type="dxa"/>
            <w:tcBorders>
              <w:left w:val="nil"/>
              <w:bottom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11.7</w:t>
            </w:r>
          </w:p>
        </w:tc>
        <w:tc>
          <w:tcPr>
            <w:tcW w:w="720" w:type="dxa"/>
            <w:tcBorders>
              <w:left w:val="nil"/>
              <w:bottom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20.2</w:t>
            </w:r>
          </w:p>
        </w:tc>
        <w:tc>
          <w:tcPr>
            <w:tcW w:w="772" w:type="dxa"/>
            <w:tcBorders>
              <w:left w:val="nil"/>
              <w:bottom w:val="single" w:sz="4" w:space="0" w:color="auto"/>
              <w:right w:val="nil"/>
            </w:tcBorders>
            <w:tcMar>
              <w:top w:w="15" w:type="dxa"/>
              <w:left w:w="15" w:type="dxa"/>
              <w:bottom w:w="0" w:type="dxa"/>
              <w:right w:w="15" w:type="dxa"/>
            </w:tcMar>
            <w:vAlign w:val="bottom"/>
          </w:tcPr>
          <w:p w:rsidR="00356E0E" w:rsidRPr="00AE0D77" w:rsidRDefault="00356E0E" w:rsidP="003C2064">
            <w:pPr>
              <w:jc w:val="center"/>
              <w:rPr>
                <w:rFonts w:eastAsia="標楷體"/>
              </w:rPr>
            </w:pPr>
            <w:r w:rsidRPr="00AE0D77">
              <w:rPr>
                <w:rFonts w:eastAsia="標楷體"/>
              </w:rPr>
              <w:t>54.8</w:t>
            </w:r>
          </w:p>
        </w:tc>
        <w:tc>
          <w:tcPr>
            <w:tcW w:w="848" w:type="dxa"/>
            <w:tcBorders>
              <w:left w:val="nil"/>
              <w:bottom w:val="single" w:sz="4" w:space="0" w:color="auto"/>
              <w:right w:val="nil"/>
            </w:tcBorders>
            <w:tcMar>
              <w:top w:w="15" w:type="dxa"/>
              <w:left w:w="15" w:type="dxa"/>
              <w:bottom w:w="0" w:type="dxa"/>
              <w:right w:w="15" w:type="dxa"/>
            </w:tcMar>
            <w:vAlign w:val="center"/>
          </w:tcPr>
          <w:p w:rsidR="00356E0E" w:rsidRPr="00AE0D77" w:rsidRDefault="00356E0E" w:rsidP="003C2064">
            <w:pPr>
              <w:jc w:val="center"/>
              <w:rPr>
                <w:rFonts w:eastAsia="標楷體"/>
              </w:rPr>
            </w:pPr>
            <w:r w:rsidRPr="00AE0D77">
              <w:rPr>
                <w:rFonts w:eastAsia="標楷體"/>
              </w:rPr>
              <w:t>2.4</w:t>
            </w:r>
          </w:p>
        </w:tc>
      </w:tr>
    </w:tbl>
    <w:p w:rsidR="008B6034" w:rsidRPr="00AE0D77" w:rsidRDefault="002001D7" w:rsidP="002001D7">
      <w:pPr>
        <w:pStyle w:val="k3a"/>
        <w:spacing w:beforeLines="0" w:before="0" w:line="300" w:lineRule="auto"/>
        <w:ind w:leftChars="-295" w:left="-708" w:firstLineChars="0" w:firstLine="0"/>
        <w:rPr>
          <w:kern w:val="2"/>
          <w:sz w:val="22"/>
          <w:szCs w:val="22"/>
        </w:rPr>
      </w:pPr>
      <w:r w:rsidRPr="00AE0D77">
        <w:rPr>
          <w:kern w:val="2"/>
          <w:sz w:val="22"/>
          <w:szCs w:val="22"/>
        </w:rPr>
        <w:t>資料來源：財政部進出口海關統計。</w:t>
      </w:r>
      <w:r w:rsidR="00FB7596" w:rsidRPr="00AE0D77">
        <w:rPr>
          <w:kern w:val="2"/>
          <w:sz w:val="22"/>
          <w:szCs w:val="22"/>
        </w:rPr>
        <w:br w:type="page"/>
      </w:r>
    </w:p>
    <w:p w:rsidR="008B6034" w:rsidRPr="00AE0D77" w:rsidRDefault="008B6034" w:rsidP="004B772B">
      <w:pPr>
        <w:pStyle w:val="k3a"/>
        <w:spacing w:beforeLines="0" w:before="0" w:line="300" w:lineRule="auto"/>
        <w:ind w:leftChars="-354" w:left="283" w:hangingChars="515" w:hanging="1133"/>
        <w:rPr>
          <w:kern w:val="2"/>
          <w:sz w:val="22"/>
          <w:szCs w:val="22"/>
        </w:rPr>
        <w:sectPr w:rsidR="008B6034" w:rsidRPr="00AE0D7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AE0D77" w:rsidRDefault="00AC2664" w:rsidP="00B63A10">
      <w:pPr>
        <w:pStyle w:val="t-1"/>
        <w:spacing w:afterLines="0" w:after="0"/>
      </w:pPr>
      <w:bookmarkStart w:id="167" w:name="_Toc401923808"/>
      <w:bookmarkStart w:id="168" w:name="_Toc402171729"/>
      <w:bookmarkStart w:id="169" w:name="_Toc486347645"/>
      <w:r w:rsidRPr="00AE0D77">
        <w:t>肆、專論</w:t>
      </w:r>
      <w:bookmarkEnd w:id="158"/>
      <w:bookmarkEnd w:id="167"/>
      <w:bookmarkEnd w:id="168"/>
      <w:bookmarkEnd w:id="169"/>
    </w:p>
    <w:p w:rsidR="00554063" w:rsidRPr="00AE0D77" w:rsidRDefault="00554063" w:rsidP="00C81B38">
      <w:pPr>
        <w:adjustRightInd w:val="0"/>
        <w:snapToGrid w:val="0"/>
        <w:spacing w:beforeLines="150" w:before="540" w:line="360" w:lineRule="auto"/>
        <w:jc w:val="center"/>
        <w:rPr>
          <w:rFonts w:eastAsia="標楷體"/>
          <w:sz w:val="28"/>
        </w:rPr>
      </w:pPr>
      <w:r w:rsidRPr="00AE0D77">
        <w:rPr>
          <w:rFonts w:eastAsia="標楷體"/>
          <w:b/>
          <w:sz w:val="36"/>
        </w:rPr>
        <w:t>從消費的本質淺談刺激消費政策之意涵</w:t>
      </w:r>
      <w:r w:rsidRPr="00AE0D77">
        <w:rPr>
          <w:rStyle w:val="aff6"/>
          <w:rFonts w:eastAsia="標楷體"/>
          <w:sz w:val="28"/>
        </w:rPr>
        <w:footnoteReference w:id="1"/>
      </w:r>
    </w:p>
    <w:p w:rsidR="00554063" w:rsidRPr="00AE0D77" w:rsidRDefault="00554063" w:rsidP="00554063">
      <w:pPr>
        <w:adjustRightInd w:val="0"/>
        <w:snapToGrid w:val="0"/>
        <w:spacing w:beforeLines="100" w:before="360" w:line="360" w:lineRule="auto"/>
        <w:rPr>
          <w:rFonts w:eastAsia="標楷體"/>
          <w:b/>
          <w:sz w:val="28"/>
        </w:rPr>
      </w:pPr>
      <w:r w:rsidRPr="00AE0D77">
        <w:rPr>
          <w:rFonts w:eastAsia="標楷體"/>
          <w:b/>
          <w:sz w:val="28"/>
        </w:rPr>
        <w:t>一、前言</w:t>
      </w:r>
    </w:p>
    <w:p w:rsidR="00554063" w:rsidRPr="00AE0D77" w:rsidRDefault="00554063" w:rsidP="00554063">
      <w:pPr>
        <w:adjustRightInd w:val="0"/>
        <w:snapToGrid w:val="0"/>
        <w:spacing w:line="360" w:lineRule="auto"/>
        <w:jc w:val="both"/>
        <w:rPr>
          <w:rFonts w:eastAsia="標楷體"/>
          <w:sz w:val="28"/>
        </w:rPr>
      </w:pPr>
      <w:r w:rsidRPr="00AE0D77">
        <w:rPr>
          <w:rFonts w:eastAsia="標楷體"/>
          <w:sz w:val="28"/>
        </w:rPr>
        <w:t xml:space="preserve">　　國內生產毛額</w:t>
      </w:r>
      <w:r w:rsidRPr="00AE0D77">
        <w:rPr>
          <w:rFonts w:eastAsia="標楷體"/>
          <w:sz w:val="28"/>
        </w:rPr>
        <w:t>(GDP)</w:t>
      </w:r>
      <w:r w:rsidRPr="00AE0D77">
        <w:rPr>
          <w:rFonts w:eastAsia="標楷體"/>
          <w:sz w:val="28"/>
        </w:rPr>
        <w:t>一向為各國關注的重要經濟指標，而</w:t>
      </w:r>
      <w:r w:rsidRPr="00AE0D77">
        <w:rPr>
          <w:rFonts w:eastAsia="標楷體"/>
          <w:sz w:val="28"/>
        </w:rPr>
        <w:t>GDP</w:t>
      </w:r>
      <w:r w:rsidRPr="00AE0D77">
        <w:rPr>
          <w:rFonts w:eastAsia="標楷體"/>
          <w:sz w:val="28"/>
        </w:rPr>
        <w:t>係由民間消費、政府支出、投資及淨出口所組成，其中，民間消費是維持經濟成長穩定的重要因素，因此本文嘗試透過台日統計資料，觀察比較兩國消費支出型態差異，並從消費的本質，探討提升民間消費的做法。</w:t>
      </w:r>
    </w:p>
    <w:p w:rsidR="00554063" w:rsidRPr="00AE0D77" w:rsidRDefault="00554063" w:rsidP="00554063">
      <w:pPr>
        <w:adjustRightInd w:val="0"/>
        <w:snapToGrid w:val="0"/>
        <w:spacing w:line="360" w:lineRule="auto"/>
        <w:rPr>
          <w:rFonts w:eastAsia="標楷體"/>
          <w:sz w:val="28"/>
        </w:rPr>
      </w:pPr>
    </w:p>
    <w:p w:rsidR="00554063" w:rsidRPr="00AE0D77" w:rsidRDefault="00554063" w:rsidP="00554063">
      <w:pPr>
        <w:adjustRightInd w:val="0"/>
        <w:snapToGrid w:val="0"/>
        <w:spacing w:line="360" w:lineRule="auto"/>
        <w:rPr>
          <w:rFonts w:eastAsia="標楷體"/>
          <w:b/>
          <w:sz w:val="28"/>
        </w:rPr>
      </w:pPr>
      <w:r w:rsidRPr="00AE0D77">
        <w:rPr>
          <w:rFonts w:eastAsia="標楷體"/>
          <w:b/>
          <w:sz w:val="28"/>
        </w:rPr>
        <w:t>二、刺激消費政策簡介</w:t>
      </w:r>
    </w:p>
    <w:p w:rsidR="00554063" w:rsidRPr="00AE0D77" w:rsidRDefault="00554063" w:rsidP="00554063">
      <w:pPr>
        <w:adjustRightInd w:val="0"/>
        <w:snapToGrid w:val="0"/>
        <w:spacing w:line="360" w:lineRule="auto"/>
        <w:jc w:val="both"/>
        <w:rPr>
          <w:rFonts w:eastAsia="標楷體"/>
          <w:sz w:val="28"/>
        </w:rPr>
      </w:pPr>
      <w:r w:rsidRPr="00AE0D77">
        <w:rPr>
          <w:rFonts w:eastAsia="標楷體"/>
          <w:sz w:val="28"/>
        </w:rPr>
        <w:t xml:space="preserve">　　</w:t>
      </w:r>
      <w:r w:rsidRPr="00AE0D77">
        <w:rPr>
          <w:rFonts w:eastAsia="標楷體"/>
          <w:sz w:val="28"/>
        </w:rPr>
        <w:t>GDP</w:t>
      </w:r>
      <w:r w:rsidRPr="00AE0D77">
        <w:rPr>
          <w:rFonts w:eastAsia="標楷體"/>
          <w:sz w:val="28"/>
        </w:rPr>
        <w:t>是衡量一個國家經濟狀況及發展水準的重要指標</w:t>
      </w:r>
      <w:r w:rsidRPr="00AE0D77">
        <w:rPr>
          <w:rStyle w:val="aff6"/>
          <w:rFonts w:eastAsia="標楷體"/>
          <w:sz w:val="28"/>
        </w:rPr>
        <w:footnoteReference w:id="2"/>
      </w:r>
      <w:r w:rsidRPr="00AE0D77">
        <w:rPr>
          <w:rFonts w:eastAsia="標楷體"/>
          <w:sz w:val="28"/>
        </w:rPr>
        <w:t>，有</w:t>
      </w:r>
      <w:r w:rsidRPr="00AE0D77">
        <w:rPr>
          <w:rFonts w:eastAsia="標楷體"/>
          <w:sz w:val="28"/>
        </w:rPr>
        <w:t>3</w:t>
      </w:r>
      <w:r w:rsidRPr="00AE0D77">
        <w:rPr>
          <w:rFonts w:eastAsia="標楷體"/>
          <w:sz w:val="28"/>
        </w:rPr>
        <w:t>種計算方式，以最常見的支出面來看，其組成包含民間消費、政府支出、投資及淨出口；根據乘數效果，政府可以藉由擴張性政策增加民間消費、投資或政府支出等。</w:t>
      </w:r>
    </w:p>
    <w:p w:rsidR="00554063" w:rsidRPr="00AE0D77" w:rsidRDefault="00554063" w:rsidP="00554063">
      <w:pPr>
        <w:adjustRightInd w:val="0"/>
        <w:snapToGrid w:val="0"/>
        <w:spacing w:line="360" w:lineRule="auto"/>
        <w:jc w:val="both"/>
        <w:rPr>
          <w:rFonts w:eastAsia="標楷體"/>
          <w:sz w:val="28"/>
        </w:rPr>
      </w:pPr>
      <w:r w:rsidRPr="00AE0D77">
        <w:rPr>
          <w:rFonts w:eastAsia="標楷體"/>
          <w:sz w:val="28"/>
        </w:rPr>
        <w:t xml:space="preserve">　　內需係以投資跟消費為主體，一般而言，基於投資是未來經濟成長的基礎，因此各國政府多傾向增加公共投資，藉以帶動正向景氣循環；我國政府目前規劃推動的「前瞻基礎建設計畫」</w:t>
      </w:r>
      <w:r w:rsidRPr="00AE0D77">
        <w:rPr>
          <w:rStyle w:val="aff6"/>
          <w:rFonts w:eastAsia="標楷體"/>
          <w:sz w:val="28"/>
        </w:rPr>
        <w:footnoteReference w:id="3"/>
      </w:r>
      <w:r w:rsidRPr="00AE0D77">
        <w:rPr>
          <w:rFonts w:eastAsia="標楷體"/>
          <w:sz w:val="28"/>
        </w:rPr>
        <w:t>，即是著眼於未來</w:t>
      </w:r>
      <w:r w:rsidRPr="00AE0D77">
        <w:rPr>
          <w:rFonts w:eastAsia="標楷體"/>
          <w:sz w:val="28"/>
        </w:rPr>
        <w:t>30</w:t>
      </w:r>
      <w:r w:rsidRPr="00AE0D77">
        <w:rPr>
          <w:rFonts w:eastAsia="標楷體"/>
          <w:sz w:val="28"/>
        </w:rPr>
        <w:t>年國家發展所需基礎建設的公共投資。</w:t>
      </w:r>
    </w:p>
    <w:p w:rsidR="00554063" w:rsidRPr="00AE0D77" w:rsidRDefault="00554063" w:rsidP="00554063">
      <w:pPr>
        <w:adjustRightInd w:val="0"/>
        <w:snapToGrid w:val="0"/>
        <w:spacing w:line="360" w:lineRule="auto"/>
        <w:jc w:val="both"/>
        <w:rPr>
          <w:rFonts w:eastAsia="標楷體"/>
          <w:sz w:val="28"/>
        </w:rPr>
      </w:pPr>
      <w:r w:rsidRPr="00AE0D77">
        <w:rPr>
          <w:rFonts w:eastAsia="標楷體"/>
          <w:sz w:val="28"/>
        </w:rPr>
        <w:t xml:space="preserve">　　而民間消費的部分，在各主要國家中其占</w:t>
      </w:r>
      <w:r w:rsidRPr="00AE0D77">
        <w:rPr>
          <w:rFonts w:eastAsia="標楷體"/>
          <w:sz w:val="28"/>
        </w:rPr>
        <w:t>GDP</w:t>
      </w:r>
      <w:r w:rsidRPr="00AE0D77">
        <w:rPr>
          <w:rFonts w:eastAsia="標楷體"/>
          <w:sz w:val="28"/>
        </w:rPr>
        <w:t>比重均超過</w:t>
      </w:r>
      <w:r w:rsidRPr="00AE0D77">
        <w:rPr>
          <w:rFonts w:eastAsia="標楷體"/>
          <w:sz w:val="28"/>
        </w:rPr>
        <w:t>6</w:t>
      </w:r>
      <w:r w:rsidRPr="00AE0D77">
        <w:rPr>
          <w:rFonts w:eastAsia="標楷體"/>
          <w:sz w:val="28"/>
        </w:rPr>
        <w:t>成，因此政府亦期待能同時以提振消費的方式，達到刺激經濟成長的目的；以下列舉國內幾次與民間消費有直接相關的重大政策：</w:t>
      </w:r>
    </w:p>
    <w:p w:rsidR="00554063" w:rsidRPr="00AE0D77" w:rsidRDefault="00554063" w:rsidP="00554063">
      <w:pPr>
        <w:adjustRightInd w:val="0"/>
        <w:snapToGrid w:val="0"/>
        <w:spacing w:line="360" w:lineRule="auto"/>
        <w:ind w:left="840" w:hangingChars="300" w:hanging="840"/>
        <w:jc w:val="both"/>
        <w:rPr>
          <w:rFonts w:eastAsia="標楷體"/>
          <w:sz w:val="28"/>
        </w:rPr>
      </w:pPr>
      <w:r w:rsidRPr="00AE0D77">
        <w:rPr>
          <w:rFonts w:eastAsia="標楷體"/>
          <w:sz w:val="28"/>
        </w:rPr>
        <w:t>（一）振興經濟消費券政策：主要因應</w:t>
      </w:r>
      <w:r w:rsidRPr="00AE0D77">
        <w:rPr>
          <w:rFonts w:eastAsia="標楷體"/>
          <w:sz w:val="28"/>
        </w:rPr>
        <w:t>2008</w:t>
      </w:r>
      <w:r w:rsidRPr="00AE0D77">
        <w:rPr>
          <w:rFonts w:eastAsia="標楷體"/>
          <w:sz w:val="28"/>
        </w:rPr>
        <w:t>年全球金融海嘯所帶來的消費緊縮效應，發放給全國人民的消費專用券，每人可獲得面額新臺幣</w:t>
      </w:r>
      <w:r w:rsidRPr="00AE0D77">
        <w:rPr>
          <w:rFonts w:eastAsia="標楷體"/>
          <w:sz w:val="28"/>
        </w:rPr>
        <w:t>3,600</w:t>
      </w:r>
      <w:r w:rsidRPr="00AE0D77">
        <w:rPr>
          <w:rFonts w:eastAsia="標楷體"/>
          <w:sz w:val="28"/>
        </w:rPr>
        <w:t>元的消費券。</w:t>
      </w:r>
    </w:p>
    <w:p w:rsidR="00554063" w:rsidRPr="00AE0D77" w:rsidRDefault="00554063" w:rsidP="00554063">
      <w:pPr>
        <w:adjustRightInd w:val="0"/>
        <w:snapToGrid w:val="0"/>
        <w:spacing w:line="360" w:lineRule="auto"/>
        <w:ind w:left="840" w:hangingChars="300" w:hanging="840"/>
        <w:jc w:val="both"/>
        <w:rPr>
          <w:rFonts w:eastAsia="標楷體"/>
          <w:sz w:val="28"/>
        </w:rPr>
      </w:pPr>
      <w:r w:rsidRPr="00AE0D77">
        <w:rPr>
          <w:rFonts w:eastAsia="標楷體"/>
          <w:sz w:val="28"/>
        </w:rPr>
        <w:t>（二）消費提振措施：為因應</w:t>
      </w:r>
      <w:r w:rsidRPr="00AE0D77">
        <w:rPr>
          <w:rFonts w:eastAsia="標楷體"/>
          <w:sz w:val="28"/>
        </w:rPr>
        <w:t>2015</w:t>
      </w:r>
      <w:r w:rsidRPr="00AE0D77">
        <w:rPr>
          <w:rFonts w:eastAsia="標楷體"/>
          <w:sz w:val="28"/>
        </w:rPr>
        <w:t>年全球經濟成長不如預期，衝擊我國整體經濟表現，而透過補貼民眾購買特定商品與服務一定金額，誘發民眾額外消費、提振內需，亦期發揮鼓勵節能省水、推展數位生活、豐富民眾購物旅遊等效益。</w:t>
      </w:r>
    </w:p>
    <w:p w:rsidR="00554063" w:rsidRPr="00AE0D77" w:rsidRDefault="00554063" w:rsidP="00554063">
      <w:pPr>
        <w:adjustRightInd w:val="0"/>
        <w:snapToGrid w:val="0"/>
        <w:spacing w:line="360" w:lineRule="auto"/>
        <w:ind w:left="840" w:hangingChars="300" w:hanging="840"/>
        <w:jc w:val="both"/>
        <w:rPr>
          <w:rFonts w:eastAsia="標楷體"/>
          <w:sz w:val="28"/>
        </w:rPr>
      </w:pPr>
      <w:r w:rsidRPr="00AE0D77">
        <w:rPr>
          <w:rFonts w:eastAsia="標楷體"/>
          <w:sz w:val="28"/>
        </w:rPr>
        <w:t>（三）因應陸客縮減衝擊國內旅遊措施：因應</w:t>
      </w:r>
      <w:r w:rsidRPr="00AE0D77">
        <w:rPr>
          <w:rFonts w:eastAsia="標楷體"/>
          <w:sz w:val="28"/>
        </w:rPr>
        <w:t>2016</w:t>
      </w:r>
      <w:r w:rsidRPr="00AE0D77">
        <w:rPr>
          <w:rFonts w:eastAsia="標楷體"/>
          <w:sz w:val="28"/>
        </w:rPr>
        <w:t>年中國大陸旅遊團市場萎縮困境，對國內相關觀光產業的經營造成影響；主要補助陸團旅行業運用原有產業合作模式</w:t>
      </w:r>
      <w:r w:rsidRPr="00AE0D77">
        <w:rPr>
          <w:rFonts w:eastAsia="標楷體"/>
          <w:sz w:val="28"/>
        </w:rPr>
        <w:t>(</w:t>
      </w:r>
      <w:r w:rsidRPr="00AE0D77">
        <w:rPr>
          <w:rFonts w:eastAsia="標楷體"/>
          <w:sz w:val="28"/>
        </w:rPr>
        <w:t>指曾接待陸團的旅館、餐廳、遊覽車及華語導遊</w:t>
      </w:r>
      <w:r w:rsidRPr="00AE0D77">
        <w:rPr>
          <w:rFonts w:eastAsia="標楷體"/>
          <w:sz w:val="28"/>
        </w:rPr>
        <w:t>)</w:t>
      </w:r>
      <w:r w:rsidRPr="00AE0D77">
        <w:rPr>
          <w:rFonts w:eastAsia="標楷體"/>
          <w:sz w:val="28"/>
        </w:rPr>
        <w:t>，推出平日國內旅遊行程。</w:t>
      </w:r>
    </w:p>
    <w:p w:rsidR="00554063" w:rsidRPr="00AE0D77" w:rsidRDefault="00554063" w:rsidP="00554063">
      <w:pPr>
        <w:adjustRightInd w:val="0"/>
        <w:snapToGrid w:val="0"/>
        <w:spacing w:line="360" w:lineRule="auto"/>
        <w:jc w:val="both"/>
        <w:rPr>
          <w:rFonts w:eastAsia="標楷體"/>
          <w:sz w:val="28"/>
        </w:rPr>
      </w:pPr>
      <w:r w:rsidRPr="00AE0D77">
        <w:rPr>
          <w:rFonts w:eastAsia="標楷體"/>
          <w:sz w:val="28"/>
        </w:rPr>
        <w:t xml:space="preserve">　　除臺灣外，國際上亦不乏有許多刺激消費的相關作為，以日本「超值星期五</w:t>
      </w:r>
      <w:r w:rsidRPr="00AE0D77">
        <w:rPr>
          <w:rFonts w:eastAsia="標楷體"/>
          <w:sz w:val="28"/>
        </w:rPr>
        <w:t>(Premium Friday)</w:t>
      </w:r>
      <w:r w:rsidRPr="00AE0D77">
        <w:rPr>
          <w:rFonts w:eastAsia="標楷體"/>
          <w:sz w:val="28"/>
        </w:rPr>
        <w:t>」政策為例</w:t>
      </w:r>
      <w:r w:rsidRPr="00AE0D77">
        <w:rPr>
          <w:rFonts w:eastAsia="標楷體"/>
          <w:sz w:val="28"/>
        </w:rPr>
        <w:t>(</w:t>
      </w:r>
      <w:r w:rsidRPr="00AE0D77">
        <w:rPr>
          <w:rFonts w:eastAsia="標楷體"/>
          <w:sz w:val="28"/>
        </w:rPr>
        <w:t>如圖</w:t>
      </w:r>
      <w:r w:rsidRPr="00AE0D77">
        <w:rPr>
          <w:rFonts w:eastAsia="標楷體"/>
          <w:sz w:val="28"/>
        </w:rPr>
        <w:t>1)</w:t>
      </w:r>
      <w:r w:rsidRPr="00AE0D77">
        <w:rPr>
          <w:rFonts w:eastAsia="標楷體"/>
          <w:sz w:val="28"/>
        </w:rPr>
        <w:t>，由日本政府與經濟團體聯合會共同組成的「超值星期五推動協議會</w:t>
      </w:r>
      <w:r w:rsidRPr="00AE0D77">
        <w:rPr>
          <w:rFonts w:eastAsia="標楷體"/>
          <w:sz w:val="28"/>
        </w:rPr>
        <w:t>(</w:t>
      </w:r>
      <w:r w:rsidRPr="00AE0D77">
        <w:rPr>
          <w:rFonts w:eastAsia="標楷體"/>
          <w:sz w:val="28"/>
        </w:rPr>
        <w:t>プレミアムフライデー推進協議会</w:t>
      </w:r>
      <w:r w:rsidRPr="00AE0D77">
        <w:rPr>
          <w:rFonts w:eastAsia="標楷體"/>
          <w:sz w:val="28"/>
        </w:rPr>
        <w:t>)</w:t>
      </w:r>
      <w:r w:rsidRPr="00AE0D77">
        <w:rPr>
          <w:rFonts w:eastAsia="標楷體"/>
          <w:sz w:val="28"/>
        </w:rPr>
        <w:t>」，鼓勵企業在每個月最後</w:t>
      </w:r>
      <w:r w:rsidRPr="00AE0D77">
        <w:rPr>
          <w:rFonts w:eastAsia="標楷體"/>
          <w:sz w:val="28"/>
        </w:rPr>
        <w:t>1</w:t>
      </w:r>
      <w:r w:rsidRPr="00AE0D77">
        <w:rPr>
          <w:rFonts w:eastAsia="標楷體"/>
          <w:sz w:val="28"/>
        </w:rPr>
        <w:t>個星期五的下午</w:t>
      </w:r>
      <w:r w:rsidRPr="00AE0D77">
        <w:rPr>
          <w:rFonts w:eastAsia="標楷體"/>
          <w:sz w:val="28"/>
        </w:rPr>
        <w:t>3</w:t>
      </w:r>
      <w:r w:rsidRPr="00AE0D77">
        <w:rPr>
          <w:rFonts w:eastAsia="標楷體"/>
          <w:sz w:val="28"/>
        </w:rPr>
        <w:t>時提早下班，讓員工有更多時間吃喝玩樂、購物，以刺激消費，並平衡工作與生活，嘗試將勞動改革和擴大消費相結合，設法振興國內經濟；</w:t>
      </w:r>
      <w:r w:rsidRPr="00AE0D77">
        <w:rPr>
          <w:rFonts w:eastAsia="標楷體"/>
          <w:sz w:val="28"/>
        </w:rPr>
        <w:t>2017</w:t>
      </w:r>
      <w:r w:rsidRPr="00AE0D77">
        <w:rPr>
          <w:rFonts w:eastAsia="標楷體"/>
          <w:sz w:val="28"/>
        </w:rPr>
        <w:t>年預計實施</w:t>
      </w:r>
      <w:r w:rsidRPr="00AE0D77">
        <w:rPr>
          <w:rFonts w:eastAsia="標楷體"/>
          <w:sz w:val="28"/>
        </w:rPr>
        <w:t>11</w:t>
      </w:r>
      <w:r w:rsidRPr="00AE0D77">
        <w:rPr>
          <w:rFonts w:eastAsia="標楷體"/>
          <w:sz w:val="28"/>
        </w:rPr>
        <w:t>次「超值星期五」措施。</w:t>
      </w:r>
    </w:p>
    <w:p w:rsidR="00554063" w:rsidRPr="00AE0D77" w:rsidRDefault="00554063" w:rsidP="00554063">
      <w:pPr>
        <w:adjustRightInd w:val="0"/>
        <w:snapToGrid w:val="0"/>
        <w:spacing w:line="360" w:lineRule="auto"/>
        <w:jc w:val="both"/>
        <w:rPr>
          <w:rFonts w:eastAsia="標楷體"/>
          <w:sz w:val="28"/>
        </w:rPr>
      </w:pPr>
      <w:r w:rsidRPr="00AE0D77">
        <w:rPr>
          <w:rFonts w:eastAsia="標楷體"/>
          <w:sz w:val="28"/>
        </w:rPr>
        <w:t xml:space="preserve">　　南韓方面，雖然自</w:t>
      </w:r>
      <w:r w:rsidRPr="00AE0D77">
        <w:rPr>
          <w:rFonts w:eastAsia="標楷體"/>
          <w:sz w:val="28"/>
        </w:rPr>
        <w:t>2016</w:t>
      </w:r>
      <w:r w:rsidRPr="00AE0D77">
        <w:rPr>
          <w:rFonts w:eastAsia="標楷體"/>
          <w:sz w:val="28"/>
        </w:rPr>
        <w:t>年以來出口持續回溫，但是內需表現仍然不佳，拖累經濟復甦的動能，因此政府提出一系列的提振內需措施</w:t>
      </w:r>
      <w:r w:rsidRPr="00AE0D77">
        <w:rPr>
          <w:rStyle w:val="aff6"/>
          <w:rFonts w:eastAsia="標楷體"/>
          <w:sz w:val="28"/>
        </w:rPr>
        <w:footnoteReference w:id="4"/>
      </w:r>
      <w:r w:rsidRPr="00AE0D77">
        <w:rPr>
          <w:rFonts w:eastAsia="標楷體"/>
          <w:sz w:val="28"/>
        </w:rPr>
        <w:t>；其中，在強化消費措施方面，南韓政府表示，可能會參考日本「超值星期五」作法，每月訂定</w:t>
      </w:r>
      <w:r w:rsidRPr="00AE0D77">
        <w:rPr>
          <w:rFonts w:eastAsia="標楷體"/>
          <w:sz w:val="28"/>
        </w:rPr>
        <w:t>1</w:t>
      </w:r>
      <w:r w:rsidRPr="00AE0D77">
        <w:rPr>
          <w:rFonts w:eastAsia="標楷體"/>
          <w:sz w:val="28"/>
        </w:rPr>
        <w:t>天為家庭日</w:t>
      </w:r>
      <w:r w:rsidRPr="00AE0D77">
        <w:rPr>
          <w:rFonts w:eastAsia="標楷體"/>
          <w:sz w:val="28"/>
        </w:rPr>
        <w:t>(family day)</w:t>
      </w:r>
      <w:r w:rsidRPr="00AE0D77">
        <w:rPr>
          <w:rFonts w:eastAsia="標楷體"/>
          <w:sz w:val="28"/>
        </w:rPr>
        <w:t>，讓員工能夠提早下班，有更充裕的時間購物或旅遊。此外，配合家庭日活動，政府也針對鐵路及旅宿等提出多項的補助優惠，刺激國內消費</w:t>
      </w:r>
      <w:r w:rsidRPr="00AE0D77">
        <w:rPr>
          <w:rStyle w:val="aff6"/>
          <w:rFonts w:eastAsia="標楷體"/>
          <w:sz w:val="28"/>
        </w:rPr>
        <w:footnoteReference w:id="5"/>
      </w:r>
      <w:r w:rsidRPr="00AE0D77">
        <w:rPr>
          <w:rFonts w:eastAsia="標楷體"/>
          <w:sz w:val="28"/>
        </w:rPr>
        <w:t>。</w:t>
      </w:r>
    </w:p>
    <w:p w:rsidR="00554063" w:rsidRPr="00AE0D77" w:rsidRDefault="00554063" w:rsidP="00554063">
      <w:pPr>
        <w:adjustRightInd w:val="0"/>
        <w:snapToGrid w:val="0"/>
        <w:spacing w:line="360" w:lineRule="auto"/>
        <w:jc w:val="both"/>
        <w:rPr>
          <w:rFonts w:eastAsia="標楷體"/>
          <w:sz w:val="28"/>
        </w:rPr>
      </w:pPr>
    </w:p>
    <w:p w:rsidR="00554063" w:rsidRPr="00AE0D77" w:rsidRDefault="00554063" w:rsidP="00554063">
      <w:pPr>
        <w:adjustRightInd w:val="0"/>
        <w:snapToGrid w:val="0"/>
        <w:spacing w:line="360" w:lineRule="auto"/>
        <w:jc w:val="center"/>
        <w:rPr>
          <w:rFonts w:eastAsia="標楷體"/>
          <w:sz w:val="28"/>
        </w:rPr>
      </w:pPr>
      <w:r w:rsidRPr="00AE0D77">
        <w:rPr>
          <w:rFonts w:eastAsia="標楷體"/>
          <w:noProof/>
        </w:rPr>
        <w:drawing>
          <wp:inline distT="0" distB="0" distL="0" distR="0" wp14:anchorId="14D4A38A" wp14:editId="3C92A45F">
            <wp:extent cx="4126727" cy="2729200"/>
            <wp:effectExtent l="0" t="0" r="7620" b="0"/>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9176" t="8808" r="19300" b="9659"/>
                    <a:stretch/>
                  </pic:blipFill>
                  <pic:spPr bwMode="auto">
                    <a:xfrm>
                      <a:off x="0" y="0"/>
                      <a:ext cx="4136199" cy="2735465"/>
                    </a:xfrm>
                    <a:prstGeom prst="rect">
                      <a:avLst/>
                    </a:prstGeom>
                    <a:ln>
                      <a:noFill/>
                    </a:ln>
                    <a:extLst>
                      <a:ext uri="{53640926-AAD7-44D8-BBD7-CCE9431645EC}">
                        <a14:shadowObscured xmlns:a14="http://schemas.microsoft.com/office/drawing/2010/main"/>
                      </a:ext>
                    </a:extLst>
                  </pic:spPr>
                </pic:pic>
              </a:graphicData>
            </a:graphic>
          </wp:inline>
        </w:drawing>
      </w:r>
    </w:p>
    <w:p w:rsidR="00554063" w:rsidRPr="00AE0D77" w:rsidRDefault="00554063" w:rsidP="00554063">
      <w:pPr>
        <w:adjustRightInd w:val="0"/>
        <w:snapToGrid w:val="0"/>
        <w:spacing w:line="360" w:lineRule="auto"/>
        <w:ind w:leftChars="177" w:left="425"/>
        <w:rPr>
          <w:rFonts w:eastAsia="標楷體"/>
          <w:sz w:val="20"/>
        </w:rPr>
      </w:pPr>
      <w:r w:rsidRPr="00AE0D77">
        <w:rPr>
          <w:rFonts w:eastAsia="標楷體"/>
          <w:sz w:val="20"/>
        </w:rPr>
        <w:t>資料來源：プレミアムフライデー推進協議会，網址：</w:t>
      </w:r>
      <w:r w:rsidRPr="00AE0D77">
        <w:rPr>
          <w:rFonts w:eastAsia="標楷體"/>
          <w:sz w:val="20"/>
        </w:rPr>
        <w:t>https://premium-friday.com/</w:t>
      </w:r>
      <w:r w:rsidRPr="00AE0D77">
        <w:rPr>
          <w:rFonts w:eastAsia="標楷體"/>
          <w:sz w:val="20"/>
        </w:rPr>
        <w:t>。</w:t>
      </w:r>
    </w:p>
    <w:p w:rsidR="00554063" w:rsidRPr="00AE0D77" w:rsidRDefault="00554063" w:rsidP="00554063">
      <w:pPr>
        <w:adjustRightInd w:val="0"/>
        <w:snapToGrid w:val="0"/>
        <w:spacing w:afterLines="50" w:after="180" w:line="360" w:lineRule="auto"/>
        <w:jc w:val="center"/>
        <w:rPr>
          <w:rFonts w:eastAsia="標楷體"/>
          <w:b/>
          <w:sz w:val="28"/>
        </w:rPr>
      </w:pPr>
      <w:r w:rsidRPr="00AE0D77">
        <w:rPr>
          <w:rFonts w:eastAsia="標楷體"/>
          <w:b/>
          <w:sz w:val="28"/>
        </w:rPr>
        <w:t>圖</w:t>
      </w:r>
      <w:r w:rsidRPr="00AE0D77">
        <w:rPr>
          <w:rFonts w:eastAsia="標楷體"/>
          <w:b/>
          <w:sz w:val="28"/>
        </w:rPr>
        <w:t>1</w:t>
      </w:r>
      <w:r w:rsidRPr="00AE0D77">
        <w:rPr>
          <w:rFonts w:eastAsia="標楷體"/>
          <w:b/>
          <w:sz w:val="28"/>
        </w:rPr>
        <w:t xml:space="preserve">　日本「超值星期五」標誌</w:t>
      </w:r>
    </w:p>
    <w:p w:rsidR="00554063" w:rsidRPr="00AE0D77" w:rsidRDefault="00554063" w:rsidP="00554063">
      <w:pPr>
        <w:adjustRightInd w:val="0"/>
        <w:snapToGrid w:val="0"/>
        <w:spacing w:line="360" w:lineRule="auto"/>
        <w:rPr>
          <w:rFonts w:eastAsia="標楷體"/>
          <w:b/>
          <w:sz w:val="28"/>
        </w:rPr>
      </w:pPr>
      <w:r w:rsidRPr="00AE0D77">
        <w:rPr>
          <w:rFonts w:eastAsia="標楷體"/>
          <w:b/>
          <w:sz w:val="28"/>
        </w:rPr>
        <w:t>三、消費政策之效果分析</w:t>
      </w:r>
    </w:p>
    <w:p w:rsidR="00554063" w:rsidRPr="00AE0D77" w:rsidRDefault="00554063" w:rsidP="00554063">
      <w:pPr>
        <w:adjustRightInd w:val="0"/>
        <w:snapToGrid w:val="0"/>
        <w:spacing w:line="360" w:lineRule="auto"/>
        <w:rPr>
          <w:rFonts w:eastAsia="標楷體"/>
          <w:sz w:val="28"/>
        </w:rPr>
      </w:pPr>
      <w:r w:rsidRPr="00AE0D77">
        <w:rPr>
          <w:rFonts w:eastAsia="標楷體"/>
          <w:sz w:val="28"/>
        </w:rPr>
        <w:t xml:space="preserve">　　首先，乘數效果必須建構在「額外」的消費增加上。以國內的消費券政策而言，原先構想亦是希望藉由發放</w:t>
      </w:r>
      <w:r w:rsidRPr="00AE0D77">
        <w:rPr>
          <w:rFonts w:eastAsia="標楷體"/>
          <w:sz w:val="28"/>
        </w:rPr>
        <w:t>3,600</w:t>
      </w:r>
      <w:r w:rsidRPr="00AE0D77">
        <w:rPr>
          <w:rFonts w:eastAsia="標楷體"/>
          <w:sz w:val="28"/>
        </w:rPr>
        <w:t>元的消費券誘發額外消費，因此規定須在一定期間內使用，並且不能儲蓄。</w:t>
      </w:r>
    </w:p>
    <w:p w:rsidR="00554063" w:rsidRPr="00AE0D77" w:rsidRDefault="00554063" w:rsidP="00554063">
      <w:pPr>
        <w:adjustRightInd w:val="0"/>
        <w:snapToGrid w:val="0"/>
        <w:spacing w:line="360" w:lineRule="auto"/>
        <w:rPr>
          <w:rFonts w:eastAsia="標楷體"/>
          <w:sz w:val="28"/>
        </w:rPr>
      </w:pPr>
      <w:r w:rsidRPr="00AE0D77">
        <w:rPr>
          <w:rFonts w:eastAsia="標楷體"/>
          <w:sz w:val="28"/>
        </w:rPr>
        <w:t xml:space="preserve">　　但是，除了「額外」消費，乘數效果尚有其他的侷限性，亦即，乘數效果主要著重在「短期」分析，而忽略消費者可能會有「跨期」的考量。根據恆常所得假說</w:t>
      </w:r>
      <w:r w:rsidRPr="00AE0D77">
        <w:rPr>
          <w:rFonts w:eastAsia="標楷體"/>
          <w:sz w:val="28"/>
        </w:rPr>
        <w:t>(Permanent Income Hypothesis)</w:t>
      </w:r>
      <w:r w:rsidRPr="00AE0D77">
        <w:rPr>
          <w:rFonts w:eastAsia="標楷體"/>
          <w:sz w:val="28"/>
        </w:rPr>
        <w:t>的概念，民眾的消費行為不僅是取決於當前的所得，可能還需要考量到未來的所得；如果在未來所得不明確的情形下，消費者不會因為短期所得增加</w:t>
      </w:r>
      <w:r w:rsidRPr="00AE0D77">
        <w:rPr>
          <w:rFonts w:eastAsia="標楷體"/>
          <w:sz w:val="28"/>
        </w:rPr>
        <w:t>(</w:t>
      </w:r>
      <w:r w:rsidRPr="00AE0D77">
        <w:rPr>
          <w:rFonts w:eastAsia="標楷體"/>
          <w:sz w:val="28"/>
        </w:rPr>
        <w:t>如消費券</w:t>
      </w:r>
      <w:r w:rsidRPr="00AE0D77">
        <w:rPr>
          <w:rFonts w:eastAsia="標楷體"/>
          <w:sz w:val="28"/>
        </w:rPr>
        <w:t>)</w:t>
      </w:r>
      <w:r w:rsidRPr="00AE0D77">
        <w:rPr>
          <w:rFonts w:eastAsia="標楷體"/>
          <w:sz w:val="28"/>
        </w:rPr>
        <w:t>，而改變消費行為。</w:t>
      </w:r>
    </w:p>
    <w:p w:rsidR="00554063" w:rsidRPr="00AE0D77" w:rsidRDefault="00554063" w:rsidP="00554063">
      <w:pPr>
        <w:adjustRightInd w:val="0"/>
        <w:snapToGrid w:val="0"/>
        <w:spacing w:line="360" w:lineRule="auto"/>
        <w:rPr>
          <w:rFonts w:eastAsia="標楷體"/>
          <w:sz w:val="28"/>
        </w:rPr>
      </w:pPr>
      <w:r w:rsidRPr="00AE0D77">
        <w:rPr>
          <w:rFonts w:eastAsia="標楷體"/>
          <w:sz w:val="28"/>
        </w:rPr>
        <w:t xml:space="preserve">　　舉例來說，假設某人每月所得</w:t>
      </w:r>
      <w:r w:rsidRPr="00AE0D77">
        <w:rPr>
          <w:rFonts w:eastAsia="標楷體"/>
          <w:sz w:val="28"/>
        </w:rPr>
        <w:t>30,000</w:t>
      </w:r>
      <w:r w:rsidRPr="00AE0D77">
        <w:rPr>
          <w:rFonts w:eastAsia="標楷體"/>
          <w:sz w:val="28"/>
        </w:rPr>
        <w:t>元、消費</w:t>
      </w:r>
      <w:r w:rsidRPr="00AE0D77">
        <w:rPr>
          <w:rFonts w:eastAsia="標楷體"/>
          <w:sz w:val="28"/>
        </w:rPr>
        <w:t>20,000</w:t>
      </w:r>
      <w:r w:rsidRPr="00AE0D77">
        <w:rPr>
          <w:rFonts w:eastAsia="標楷體"/>
          <w:sz w:val="28"/>
        </w:rPr>
        <w:t>元，政府期待藉由消費券政策將消費提升至</w:t>
      </w:r>
      <w:r w:rsidRPr="00AE0D77">
        <w:rPr>
          <w:rFonts w:eastAsia="標楷體"/>
          <w:sz w:val="28"/>
        </w:rPr>
        <w:t>23,600</w:t>
      </w:r>
      <w:r w:rsidRPr="00AE0D77">
        <w:rPr>
          <w:rFonts w:eastAsia="標楷體"/>
          <w:sz w:val="28"/>
        </w:rPr>
        <w:t>元；惟若考慮到當時不景氣的氛圍</w:t>
      </w:r>
      <w:r w:rsidRPr="00AE0D77">
        <w:rPr>
          <w:rFonts w:eastAsia="標楷體"/>
          <w:sz w:val="28"/>
        </w:rPr>
        <w:t>(</w:t>
      </w:r>
      <w:r w:rsidRPr="00AE0D77">
        <w:rPr>
          <w:rFonts w:eastAsia="標楷體"/>
          <w:sz w:val="28"/>
        </w:rPr>
        <w:t>未來所得不確定</w:t>
      </w:r>
      <w:r w:rsidRPr="00AE0D77">
        <w:rPr>
          <w:rFonts w:eastAsia="標楷體"/>
          <w:sz w:val="28"/>
        </w:rPr>
        <w:t>)</w:t>
      </w:r>
      <w:r w:rsidRPr="00AE0D77">
        <w:rPr>
          <w:rFonts w:eastAsia="標楷體"/>
          <w:sz w:val="28"/>
        </w:rPr>
        <w:t>，民眾勢必會謹慎消費，雖然消費券不能用於儲蓄，但可能會維持</w:t>
      </w:r>
      <w:r w:rsidRPr="00AE0D77">
        <w:rPr>
          <w:rFonts w:eastAsia="標楷體"/>
          <w:sz w:val="28"/>
        </w:rPr>
        <w:t>20,000</w:t>
      </w:r>
      <w:r w:rsidRPr="00AE0D77">
        <w:rPr>
          <w:rFonts w:eastAsia="標楷體"/>
          <w:sz w:val="28"/>
        </w:rPr>
        <w:t>元消費，而將其中的</w:t>
      </w:r>
      <w:r w:rsidRPr="00AE0D77">
        <w:rPr>
          <w:rFonts w:eastAsia="標楷體"/>
          <w:sz w:val="28"/>
        </w:rPr>
        <w:t>3,600</w:t>
      </w:r>
      <w:r w:rsidRPr="00AE0D77">
        <w:rPr>
          <w:rFonts w:eastAsia="標楷體"/>
          <w:sz w:val="28"/>
        </w:rPr>
        <w:t>元支出省下，並改由消費券取代。</w:t>
      </w:r>
    </w:p>
    <w:p w:rsidR="00554063" w:rsidRPr="00AE0D77" w:rsidRDefault="00554063" w:rsidP="00554063">
      <w:pPr>
        <w:adjustRightInd w:val="0"/>
        <w:snapToGrid w:val="0"/>
        <w:spacing w:line="360" w:lineRule="auto"/>
        <w:rPr>
          <w:rFonts w:eastAsia="標楷體"/>
          <w:sz w:val="28"/>
        </w:rPr>
      </w:pPr>
      <w:r w:rsidRPr="00AE0D77">
        <w:rPr>
          <w:rFonts w:eastAsia="標楷體"/>
          <w:sz w:val="28"/>
        </w:rPr>
        <w:t xml:space="preserve">　　因此，「消費提振措施」改以補貼購買商品與服務價格之一定金額，藉此誘發民眾「額外」消費需求</w:t>
      </w:r>
      <w:r w:rsidRPr="00AE0D77">
        <w:rPr>
          <w:rStyle w:val="aff6"/>
          <w:rFonts w:eastAsia="標楷體"/>
          <w:sz w:val="28"/>
        </w:rPr>
        <w:footnoteReference w:id="6"/>
      </w:r>
      <w:r w:rsidRPr="00AE0D77">
        <w:rPr>
          <w:rFonts w:eastAsia="標楷體"/>
          <w:sz w:val="28"/>
        </w:rPr>
        <w:t>。例如：民眾購買</w:t>
      </w:r>
      <w:r w:rsidRPr="00AE0D77">
        <w:rPr>
          <w:rFonts w:eastAsia="標楷體"/>
          <w:sz w:val="28"/>
        </w:rPr>
        <w:t>20,000</w:t>
      </w:r>
      <w:r w:rsidRPr="00AE0D77">
        <w:rPr>
          <w:rFonts w:eastAsia="標楷體"/>
          <w:sz w:val="28"/>
        </w:rPr>
        <w:t>元的節能家電，則政府補助</w:t>
      </w:r>
      <w:r w:rsidRPr="00AE0D77">
        <w:rPr>
          <w:rFonts w:eastAsia="標楷體"/>
          <w:sz w:val="28"/>
        </w:rPr>
        <w:t>2,000</w:t>
      </w:r>
      <w:r w:rsidRPr="00AE0D77">
        <w:rPr>
          <w:rFonts w:eastAsia="標楷體"/>
          <w:sz w:val="28"/>
        </w:rPr>
        <w:t>元，預估能誘發出</w:t>
      </w:r>
      <w:r w:rsidRPr="00AE0D77">
        <w:rPr>
          <w:rFonts w:eastAsia="標楷體"/>
          <w:sz w:val="28"/>
        </w:rPr>
        <w:t>18,000</w:t>
      </w:r>
      <w:r w:rsidRPr="00AE0D77">
        <w:rPr>
          <w:rFonts w:eastAsia="標楷體"/>
          <w:sz w:val="28"/>
        </w:rPr>
        <w:t>元的額外消費額度。</w:t>
      </w:r>
    </w:p>
    <w:p w:rsidR="00554063" w:rsidRPr="00AE0D77" w:rsidRDefault="00554063" w:rsidP="00554063">
      <w:pPr>
        <w:adjustRightInd w:val="0"/>
        <w:snapToGrid w:val="0"/>
        <w:spacing w:line="360" w:lineRule="auto"/>
        <w:rPr>
          <w:rFonts w:eastAsia="標楷體"/>
          <w:sz w:val="28"/>
        </w:rPr>
      </w:pPr>
      <w:r w:rsidRPr="00AE0D77">
        <w:rPr>
          <w:rFonts w:eastAsia="標楷體"/>
          <w:sz w:val="28"/>
        </w:rPr>
        <w:t xml:space="preserve">　　惟仍須注意的是，除了前文提到所得有跨期考量外，消費同樣也有跨期考量；若有部分的消費者，原本已打算購買電器，只因補助而提前購買，則此部分消費者即是受到消費跨期替代影響，讓消費行為提前發生，因此可能會對未來的民間消費產生負面效果</w:t>
      </w:r>
      <w:r w:rsidRPr="00AE0D77">
        <w:rPr>
          <w:rStyle w:val="aff6"/>
          <w:rFonts w:eastAsia="標楷體"/>
          <w:sz w:val="28"/>
        </w:rPr>
        <w:footnoteReference w:id="7"/>
      </w:r>
      <w:r w:rsidRPr="00AE0D77">
        <w:rPr>
          <w:rFonts w:eastAsia="標楷體"/>
          <w:sz w:val="28"/>
        </w:rPr>
        <w:t>。</w:t>
      </w:r>
    </w:p>
    <w:p w:rsidR="00554063" w:rsidRPr="00AE0D77" w:rsidRDefault="00554063" w:rsidP="00554063">
      <w:pPr>
        <w:adjustRightInd w:val="0"/>
        <w:snapToGrid w:val="0"/>
        <w:spacing w:line="360" w:lineRule="auto"/>
        <w:rPr>
          <w:rFonts w:eastAsia="標楷體"/>
          <w:sz w:val="28"/>
        </w:rPr>
      </w:pPr>
      <w:r w:rsidRPr="00AE0D77">
        <w:rPr>
          <w:rFonts w:eastAsia="標楷體"/>
          <w:sz w:val="28"/>
        </w:rPr>
        <w:t xml:space="preserve">　　至於日本的「超值星期五」，則是嘗試透過額外的休閒時間</w:t>
      </w:r>
      <w:r w:rsidRPr="00AE0D77">
        <w:rPr>
          <w:rStyle w:val="aff6"/>
          <w:rFonts w:eastAsia="標楷體"/>
          <w:sz w:val="28"/>
        </w:rPr>
        <w:footnoteReference w:id="8"/>
      </w:r>
      <w:r w:rsidRPr="00AE0D77">
        <w:rPr>
          <w:rFonts w:eastAsia="標楷體"/>
          <w:sz w:val="28"/>
        </w:rPr>
        <w:t>，創造額外的消費。不過，「超值星期五」並非強制實施，係由企業自行決定導入與否；根據超值星期五推進協議會統計，目前申請標誌的企業已超過</w:t>
      </w:r>
      <w:r w:rsidRPr="00AE0D77">
        <w:rPr>
          <w:rFonts w:eastAsia="標楷體"/>
          <w:sz w:val="28"/>
        </w:rPr>
        <w:t>7,000</w:t>
      </w:r>
      <w:r w:rsidRPr="00AE0D77">
        <w:rPr>
          <w:rFonts w:eastAsia="標楷體"/>
          <w:sz w:val="28"/>
        </w:rPr>
        <w:t>家</w:t>
      </w:r>
      <w:r w:rsidRPr="00AE0D77">
        <w:rPr>
          <w:rFonts w:eastAsia="標楷體"/>
          <w:sz w:val="28"/>
          <w:vertAlign w:val="superscript"/>
        </w:rPr>
        <w:footnoteReference w:id="9"/>
      </w:r>
      <w:r w:rsidRPr="00AE0D77">
        <w:rPr>
          <w:rFonts w:eastAsia="標楷體"/>
          <w:sz w:val="28"/>
        </w:rPr>
        <w:t>，包含如日產汽車、森永乳業、</w:t>
      </w:r>
      <w:r w:rsidRPr="00AE0D77">
        <w:rPr>
          <w:rFonts w:eastAsia="標楷體"/>
          <w:sz w:val="28"/>
        </w:rPr>
        <w:t>Suntory</w:t>
      </w:r>
      <w:r w:rsidRPr="00AE0D77">
        <w:rPr>
          <w:rFonts w:eastAsia="標楷體"/>
          <w:sz w:val="28"/>
        </w:rPr>
        <w:t>、</w:t>
      </w:r>
      <w:r w:rsidRPr="00AE0D77">
        <w:rPr>
          <w:rFonts w:eastAsia="標楷體"/>
          <w:sz w:val="28"/>
        </w:rPr>
        <w:t>SoftBank</w:t>
      </w:r>
      <w:r w:rsidRPr="00AE0D77">
        <w:rPr>
          <w:rFonts w:eastAsia="標楷體"/>
          <w:sz w:val="28"/>
        </w:rPr>
        <w:t>等知名企業。</w:t>
      </w:r>
    </w:p>
    <w:p w:rsidR="00554063" w:rsidRPr="00AE0D77" w:rsidRDefault="00554063" w:rsidP="00554063">
      <w:pPr>
        <w:adjustRightInd w:val="0"/>
        <w:snapToGrid w:val="0"/>
        <w:spacing w:line="360" w:lineRule="auto"/>
        <w:rPr>
          <w:rFonts w:eastAsia="標楷體"/>
          <w:sz w:val="28"/>
        </w:rPr>
      </w:pPr>
      <w:r w:rsidRPr="00AE0D77">
        <w:rPr>
          <w:rFonts w:eastAsia="標楷體"/>
          <w:sz w:val="28"/>
        </w:rPr>
        <w:t xml:space="preserve">　　根據日本</w:t>
      </w:r>
      <w:r w:rsidRPr="00AE0D77">
        <w:rPr>
          <w:rFonts w:eastAsia="標楷體"/>
          <w:sz w:val="28"/>
        </w:rPr>
        <w:t>INTAGE</w:t>
      </w:r>
      <w:r w:rsidRPr="00AE0D77">
        <w:rPr>
          <w:rFonts w:eastAsia="標楷體"/>
          <w:sz w:val="28"/>
        </w:rPr>
        <w:t>市調公司在首次</w:t>
      </w:r>
      <w:r w:rsidRPr="00AE0D77">
        <w:rPr>
          <w:rFonts w:eastAsia="標楷體"/>
          <w:sz w:val="28"/>
        </w:rPr>
        <w:t>(2</w:t>
      </w:r>
      <w:r w:rsidRPr="00AE0D77">
        <w:rPr>
          <w:rFonts w:eastAsia="標楷體"/>
          <w:sz w:val="28"/>
        </w:rPr>
        <w:t>月</w:t>
      </w:r>
      <w:r w:rsidRPr="00AE0D77">
        <w:rPr>
          <w:rFonts w:eastAsia="標楷體"/>
          <w:sz w:val="28"/>
        </w:rPr>
        <w:t>24</w:t>
      </w:r>
      <w:r w:rsidRPr="00AE0D77">
        <w:rPr>
          <w:rFonts w:eastAsia="標楷體"/>
          <w:sz w:val="28"/>
        </w:rPr>
        <w:t>日</w:t>
      </w:r>
      <w:r w:rsidRPr="00AE0D77">
        <w:rPr>
          <w:rFonts w:eastAsia="標楷體"/>
          <w:sz w:val="28"/>
        </w:rPr>
        <w:t>)</w:t>
      </w:r>
      <w:r w:rsidRPr="00AE0D77">
        <w:rPr>
          <w:rFonts w:eastAsia="標楷體"/>
          <w:sz w:val="28"/>
        </w:rPr>
        <w:t>實施「超值星期五」後，針對京濱地區</w:t>
      </w:r>
      <w:r w:rsidRPr="00AE0D77">
        <w:rPr>
          <w:rFonts w:eastAsia="標楷體"/>
          <w:sz w:val="28"/>
        </w:rPr>
        <w:t>(</w:t>
      </w:r>
      <w:r w:rsidRPr="00AE0D77">
        <w:rPr>
          <w:rFonts w:eastAsia="標楷體"/>
          <w:sz w:val="28"/>
        </w:rPr>
        <w:t>東京、琦玉、神奈川、千葉</w:t>
      </w:r>
      <w:r w:rsidRPr="00AE0D77">
        <w:rPr>
          <w:rFonts w:eastAsia="標楷體"/>
          <w:sz w:val="28"/>
        </w:rPr>
        <w:t>)2,235</w:t>
      </w:r>
      <w:r w:rsidRPr="00AE0D77">
        <w:rPr>
          <w:rFonts w:eastAsia="標楷體"/>
          <w:sz w:val="28"/>
        </w:rPr>
        <w:t>名就業者進行問卷調查統計</w:t>
      </w:r>
      <w:r w:rsidRPr="00AE0D77">
        <w:rPr>
          <w:rStyle w:val="aff6"/>
          <w:rFonts w:eastAsia="標楷體"/>
          <w:sz w:val="28"/>
        </w:rPr>
        <w:footnoteReference w:id="10"/>
      </w:r>
      <w:r w:rsidRPr="00AE0D77">
        <w:rPr>
          <w:rFonts w:eastAsia="標楷體"/>
          <w:sz w:val="28"/>
        </w:rPr>
        <w:t>，其就職企業有實施「超值星期五」及相關措施的比例為</w:t>
      </w:r>
      <w:r w:rsidRPr="00AE0D77">
        <w:rPr>
          <w:rFonts w:eastAsia="標楷體"/>
          <w:sz w:val="28"/>
        </w:rPr>
        <w:t>10.5%</w:t>
      </w:r>
      <w:r w:rsidRPr="00AE0D77">
        <w:rPr>
          <w:rFonts w:eastAsia="標楷體"/>
          <w:sz w:val="28"/>
        </w:rPr>
        <w:t>，員工有實際提早下班的比例則為</w:t>
      </w:r>
      <w:r w:rsidRPr="00AE0D77">
        <w:rPr>
          <w:rFonts w:eastAsia="標楷體"/>
          <w:sz w:val="28"/>
        </w:rPr>
        <w:t>3.7%(</w:t>
      </w:r>
      <w:r w:rsidRPr="00AE0D77">
        <w:rPr>
          <w:rFonts w:eastAsia="標楷體"/>
          <w:sz w:val="28"/>
        </w:rPr>
        <w:t>如圖</w:t>
      </w:r>
      <w:r w:rsidRPr="00AE0D77">
        <w:rPr>
          <w:rFonts w:eastAsia="標楷體"/>
          <w:sz w:val="28"/>
        </w:rPr>
        <w:t>2)</w:t>
      </w:r>
      <w:r w:rsidRPr="00AE0D77">
        <w:rPr>
          <w:rFonts w:eastAsia="標楷體"/>
          <w:sz w:val="28"/>
        </w:rPr>
        <w:t>；若按企業規模別觀察，</w:t>
      </w:r>
      <w:r w:rsidRPr="00AE0D77">
        <w:rPr>
          <w:rFonts w:eastAsia="標楷體"/>
          <w:sz w:val="28"/>
        </w:rPr>
        <w:t>1,000</w:t>
      </w:r>
      <w:r w:rsidRPr="00AE0D77">
        <w:rPr>
          <w:rFonts w:eastAsia="標楷體"/>
          <w:sz w:val="28"/>
        </w:rPr>
        <w:t>人以上大企業有</w:t>
      </w:r>
      <w:r w:rsidRPr="00AE0D77">
        <w:rPr>
          <w:rFonts w:eastAsia="標楷體"/>
          <w:sz w:val="28"/>
        </w:rPr>
        <w:t>5.8%</w:t>
      </w:r>
      <w:r w:rsidRPr="00AE0D77">
        <w:rPr>
          <w:rFonts w:eastAsia="標楷體"/>
          <w:sz w:val="28"/>
        </w:rPr>
        <w:t>實施「超值星期五」</w:t>
      </w:r>
      <w:r w:rsidRPr="00AE0D77">
        <w:rPr>
          <w:rFonts w:eastAsia="標楷體"/>
          <w:sz w:val="28"/>
        </w:rPr>
        <w:t>(</w:t>
      </w:r>
      <w:r w:rsidRPr="00AE0D77">
        <w:rPr>
          <w:rFonts w:eastAsia="標楷體"/>
          <w:sz w:val="28"/>
        </w:rPr>
        <w:t>実施された</w:t>
      </w:r>
      <w:r w:rsidRPr="00AE0D77">
        <w:rPr>
          <w:rFonts w:eastAsia="標楷體"/>
          <w:sz w:val="28"/>
        </w:rPr>
        <w:t>)</w:t>
      </w:r>
      <w:r w:rsidRPr="00AE0D77">
        <w:rPr>
          <w:rFonts w:eastAsia="標楷體"/>
          <w:sz w:val="28"/>
        </w:rPr>
        <w:t>、</w:t>
      </w:r>
      <w:r w:rsidRPr="00AE0D77">
        <w:rPr>
          <w:rFonts w:eastAsia="標楷體"/>
          <w:sz w:val="28"/>
        </w:rPr>
        <w:t>18.3%</w:t>
      </w:r>
      <w:r w:rsidRPr="00AE0D77">
        <w:rPr>
          <w:rFonts w:eastAsia="標楷體"/>
          <w:sz w:val="28"/>
        </w:rPr>
        <w:t>提供相關獎勵措施</w:t>
      </w:r>
      <w:r w:rsidRPr="00AE0D77">
        <w:rPr>
          <w:rFonts w:eastAsia="標楷體"/>
          <w:sz w:val="28"/>
        </w:rPr>
        <w:t>(</w:t>
      </w:r>
      <w:r w:rsidRPr="00AE0D77">
        <w:rPr>
          <w:rFonts w:eastAsia="標楷體"/>
          <w:sz w:val="28"/>
        </w:rPr>
        <w:t>奨励された</w:t>
      </w:r>
      <w:r w:rsidRPr="00AE0D77">
        <w:rPr>
          <w:rFonts w:eastAsia="標楷體"/>
          <w:sz w:val="28"/>
        </w:rPr>
        <w:t>)</w:t>
      </w:r>
      <w:r w:rsidRPr="00AE0D77">
        <w:rPr>
          <w:rFonts w:eastAsia="標楷體"/>
          <w:sz w:val="28"/>
        </w:rPr>
        <w:t>、</w:t>
      </w:r>
      <w:r w:rsidRPr="00AE0D77">
        <w:rPr>
          <w:rFonts w:eastAsia="標楷體"/>
          <w:sz w:val="28"/>
        </w:rPr>
        <w:t>75.9%</w:t>
      </w:r>
      <w:r w:rsidRPr="00AE0D77">
        <w:rPr>
          <w:rFonts w:eastAsia="標楷體"/>
          <w:sz w:val="28"/>
        </w:rPr>
        <w:t>沒有實施任何相關措施</w:t>
      </w:r>
      <w:r w:rsidRPr="00AE0D77">
        <w:rPr>
          <w:rFonts w:eastAsia="標楷體"/>
          <w:sz w:val="28"/>
        </w:rPr>
        <w:t>(</w:t>
      </w:r>
      <w:r w:rsidRPr="00AE0D77">
        <w:rPr>
          <w:rFonts w:eastAsia="標楷體"/>
          <w:sz w:val="28"/>
        </w:rPr>
        <w:t>実施・奨励されなかった</w:t>
      </w:r>
      <w:r w:rsidRPr="00AE0D77">
        <w:rPr>
          <w:rFonts w:eastAsia="標楷體"/>
          <w:sz w:val="28"/>
        </w:rPr>
        <w:t>)</w:t>
      </w:r>
      <w:r w:rsidRPr="00AE0D77">
        <w:rPr>
          <w:rFonts w:eastAsia="標楷體"/>
          <w:sz w:val="28"/>
        </w:rPr>
        <w:t>，且隨企業規模越小，實施的比例越低</w:t>
      </w:r>
      <w:r w:rsidRPr="00AE0D77">
        <w:rPr>
          <w:rFonts w:eastAsia="標楷體"/>
          <w:sz w:val="28"/>
        </w:rPr>
        <w:t>(</w:t>
      </w:r>
      <w:r w:rsidRPr="00AE0D77">
        <w:rPr>
          <w:rFonts w:eastAsia="標楷體"/>
          <w:sz w:val="28"/>
        </w:rPr>
        <w:t>如圖</w:t>
      </w:r>
      <w:r w:rsidRPr="00AE0D77">
        <w:rPr>
          <w:rFonts w:eastAsia="標楷體"/>
          <w:sz w:val="28"/>
        </w:rPr>
        <w:t>3)</w:t>
      </w:r>
      <w:r w:rsidRPr="00AE0D77">
        <w:rPr>
          <w:rFonts w:eastAsia="標楷體"/>
          <w:sz w:val="28"/>
        </w:rPr>
        <w:t>。</w:t>
      </w:r>
    </w:p>
    <w:p w:rsidR="00554063" w:rsidRPr="00AE0D77" w:rsidRDefault="00554063" w:rsidP="00554063">
      <w:pPr>
        <w:adjustRightInd w:val="0"/>
        <w:snapToGrid w:val="0"/>
        <w:spacing w:line="360" w:lineRule="auto"/>
        <w:rPr>
          <w:rFonts w:eastAsia="標楷體"/>
          <w:sz w:val="28"/>
        </w:rPr>
      </w:pP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4360"/>
      </w:tblGrid>
      <w:tr w:rsidR="00554063" w:rsidRPr="00AE0D77" w:rsidTr="00C81B38">
        <w:tc>
          <w:tcPr>
            <w:tcW w:w="4360" w:type="dxa"/>
          </w:tcPr>
          <w:p w:rsidR="00554063" w:rsidRPr="00AE0D77" w:rsidRDefault="00554063" w:rsidP="00C81B38">
            <w:pPr>
              <w:adjustRightInd w:val="0"/>
              <w:snapToGrid w:val="0"/>
              <w:spacing w:line="360" w:lineRule="auto"/>
              <w:rPr>
                <w:rFonts w:eastAsia="標楷體"/>
                <w:sz w:val="28"/>
              </w:rPr>
            </w:pPr>
            <w:r w:rsidRPr="00AE0D77">
              <w:rPr>
                <w:rFonts w:eastAsia="標楷體"/>
                <w:noProof/>
                <w:sz w:val="28"/>
              </w:rPr>
              <w:drawing>
                <wp:inline distT="0" distB="0" distL="0" distR="0" wp14:anchorId="60B8B60A" wp14:editId="292C7C32">
                  <wp:extent cx="2781300" cy="2565400"/>
                  <wp:effectExtent l="0" t="0" r="0" b="635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360" w:type="dxa"/>
          </w:tcPr>
          <w:p w:rsidR="00554063" w:rsidRPr="00AE0D77" w:rsidRDefault="00554063" w:rsidP="00C81B38">
            <w:pPr>
              <w:adjustRightInd w:val="0"/>
              <w:snapToGrid w:val="0"/>
              <w:spacing w:line="360" w:lineRule="auto"/>
              <w:rPr>
                <w:rFonts w:eastAsia="標楷體"/>
                <w:sz w:val="28"/>
              </w:rPr>
            </w:pPr>
            <w:r w:rsidRPr="00AE0D77">
              <w:rPr>
                <w:rFonts w:eastAsia="標楷體"/>
                <w:noProof/>
                <w:sz w:val="28"/>
              </w:rPr>
              <mc:AlternateContent>
                <mc:Choice Requires="wps">
                  <w:drawing>
                    <wp:anchor distT="0" distB="0" distL="114300" distR="114300" simplePos="0" relativeHeight="252471808" behindDoc="0" locked="0" layoutInCell="1" allowOverlap="1" wp14:anchorId="2AA5467C" wp14:editId="218DBEFE">
                      <wp:simplePos x="0" y="0"/>
                      <wp:positionH relativeFrom="column">
                        <wp:posOffset>605419</wp:posOffset>
                      </wp:positionH>
                      <wp:positionV relativeFrom="paragraph">
                        <wp:posOffset>1472565</wp:posOffset>
                      </wp:positionV>
                      <wp:extent cx="1587260" cy="534838"/>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260" cy="534838"/>
                              </a:xfrm>
                              <a:prstGeom prst="rect">
                                <a:avLst/>
                              </a:prstGeom>
                              <a:noFill/>
                              <a:ln w="9525">
                                <a:noFill/>
                                <a:miter lim="800000"/>
                                <a:headEnd/>
                                <a:tailEnd/>
                              </a:ln>
                            </wps:spPr>
                            <wps:txbx>
                              <w:txbxContent>
                                <w:p w:rsidR="006D5A67" w:rsidRDefault="006D5A67" w:rsidP="00554063">
                                  <w:pPr>
                                    <w:jc w:val="center"/>
                                    <w:rPr>
                                      <w:rFonts w:eastAsia="標楷體"/>
                                    </w:rPr>
                                  </w:pPr>
                                  <w:r w:rsidRPr="00552813">
                                    <w:rPr>
                                      <w:rFonts w:eastAsia="標楷體"/>
                                    </w:rPr>
                                    <w:t>沒有提早下班</w:t>
                                  </w:r>
                                </w:p>
                                <w:p w:rsidR="006D5A67" w:rsidRPr="00552813" w:rsidRDefault="006D5A67" w:rsidP="00554063">
                                  <w:pPr>
                                    <w:jc w:val="center"/>
                                    <w:rPr>
                                      <w:rFonts w:eastAsia="標楷體"/>
                                    </w:rPr>
                                  </w:pPr>
                                  <w:r>
                                    <w:rPr>
                                      <w:rFonts w:eastAsia="標楷體" w:hint="eastAsia"/>
                                    </w:rPr>
                                    <w:t>96.3%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7.65pt;margin-top:115.95pt;width:125pt;height:42.1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" filled="f" stroked="f">
                      <v:textbox>
                        <w:txbxContent>
                          <w:p w:rsidR="006D5A67" w:rsidRDefault="006D5A67" w:rsidP="00554063">
                            <w:pPr>
                              <w:jc w:val="center"/>
                              <w:rPr>
                                <w:rFonts w:eastAsia="標楷體"/>
                              </w:rPr>
                            </w:pPr>
                            <w:r w:rsidRPr="00552813">
                              <w:rPr>
                                <w:rFonts w:eastAsia="標楷體"/>
                              </w:rPr>
                              <w:t>沒有提早下班</w:t>
                            </w:r>
                          </w:p>
                          <w:p w:rsidR="006D5A67" w:rsidRPr="00552813" w:rsidRDefault="006D5A67" w:rsidP="00554063">
                            <w:pPr>
                              <w:jc w:val="center"/>
                              <w:rPr>
                                <w:rFonts w:eastAsia="標楷體"/>
                              </w:rPr>
                            </w:pPr>
                            <w:r>
                              <w:rPr>
                                <w:rFonts w:eastAsia="標楷體" w:hint="eastAsia"/>
                              </w:rPr>
                              <w:t>96.3%</w:t>
                            </w:r>
                          </w:p>
                        </w:txbxContent>
                      </v:textbox>
                    </v:shape>
                  </w:pict>
                </mc:Fallback>
              </mc:AlternateContent>
            </w:r>
            <w:r w:rsidRPr="00AE0D77">
              <w:rPr>
                <w:rFonts w:eastAsia="標楷體"/>
                <w:noProof/>
                <w:sz w:val="28"/>
              </w:rPr>
              <w:drawing>
                <wp:inline distT="0" distB="0" distL="0" distR="0" wp14:anchorId="55E4D5BD" wp14:editId="46E887BB">
                  <wp:extent cx="2781300" cy="2565400"/>
                  <wp:effectExtent l="0" t="0" r="0" b="6350"/>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554063" w:rsidRPr="00AE0D77" w:rsidTr="00C81B38">
        <w:tc>
          <w:tcPr>
            <w:tcW w:w="8720" w:type="dxa"/>
            <w:gridSpan w:val="2"/>
          </w:tcPr>
          <w:p w:rsidR="00554063" w:rsidRPr="00AE0D77" w:rsidRDefault="00554063" w:rsidP="00C81B38">
            <w:pPr>
              <w:adjustRightInd w:val="0"/>
              <w:snapToGrid w:val="0"/>
              <w:spacing w:line="360" w:lineRule="auto"/>
              <w:rPr>
                <w:rFonts w:eastAsia="標楷體"/>
                <w:sz w:val="20"/>
              </w:rPr>
            </w:pPr>
            <w:r w:rsidRPr="00AE0D77">
              <w:rPr>
                <w:rFonts w:eastAsia="標楷體"/>
                <w:sz w:val="20"/>
              </w:rPr>
              <w:t>備註：統計人數包含事前調查回答「確定不會實施」及事後調查的受訪者</w:t>
            </w:r>
            <w:r w:rsidRPr="00AE0D77">
              <w:rPr>
                <w:rFonts w:eastAsia="標楷體"/>
                <w:sz w:val="20"/>
              </w:rPr>
              <w:t>(</w:t>
            </w:r>
            <w:r w:rsidRPr="00AE0D77">
              <w:rPr>
                <w:rFonts w:eastAsia="標楷體"/>
                <w:sz w:val="20"/>
              </w:rPr>
              <w:t>共</w:t>
            </w:r>
            <w:r w:rsidRPr="00AE0D77">
              <w:rPr>
                <w:rFonts w:eastAsia="標楷體"/>
                <w:sz w:val="20"/>
              </w:rPr>
              <w:t>3,423</w:t>
            </w:r>
            <w:r w:rsidRPr="00AE0D77">
              <w:rPr>
                <w:rFonts w:eastAsia="標楷體"/>
                <w:sz w:val="20"/>
              </w:rPr>
              <w:t>份樣本</w:t>
            </w:r>
            <w:r w:rsidRPr="00AE0D77">
              <w:rPr>
                <w:rFonts w:eastAsia="標楷體"/>
                <w:sz w:val="20"/>
              </w:rPr>
              <w:t>)</w:t>
            </w:r>
          </w:p>
        </w:tc>
      </w:tr>
    </w:tbl>
    <w:p w:rsidR="00554063" w:rsidRPr="00AE0D77" w:rsidRDefault="00554063" w:rsidP="00554063">
      <w:pPr>
        <w:adjustRightInd w:val="0"/>
        <w:snapToGrid w:val="0"/>
        <w:spacing w:line="360" w:lineRule="auto"/>
        <w:rPr>
          <w:rFonts w:eastAsia="標楷體"/>
          <w:sz w:val="28"/>
        </w:rPr>
      </w:pPr>
      <w:r w:rsidRPr="00AE0D77">
        <w:rPr>
          <w:rFonts w:eastAsia="標楷體"/>
          <w:sz w:val="20"/>
        </w:rPr>
        <w:t>資料來源：</w:t>
      </w:r>
      <w:r w:rsidRPr="00AE0D77">
        <w:rPr>
          <w:rFonts w:eastAsia="標楷體"/>
          <w:sz w:val="20"/>
        </w:rPr>
        <w:t>INTAGE</w:t>
      </w:r>
      <w:r w:rsidRPr="00AE0D77">
        <w:rPr>
          <w:rFonts w:eastAsia="標楷體"/>
          <w:sz w:val="20"/>
        </w:rPr>
        <w:t>，網址：</w:t>
      </w:r>
      <w:r w:rsidRPr="00AE0D77">
        <w:rPr>
          <w:rFonts w:eastAsia="標楷體"/>
          <w:sz w:val="20"/>
        </w:rPr>
        <w:t>http://www.intage.co.jp/library/data/2017/03/intage_report20170303.pdf</w:t>
      </w:r>
      <w:r w:rsidRPr="00AE0D77">
        <w:rPr>
          <w:rFonts w:eastAsia="標楷體"/>
          <w:sz w:val="20"/>
        </w:rPr>
        <w:t>。</w:t>
      </w:r>
    </w:p>
    <w:p w:rsidR="00554063" w:rsidRPr="00AE0D77" w:rsidRDefault="00554063" w:rsidP="00554063">
      <w:pPr>
        <w:adjustRightInd w:val="0"/>
        <w:snapToGrid w:val="0"/>
        <w:spacing w:afterLines="100" w:after="360" w:line="360" w:lineRule="auto"/>
        <w:jc w:val="center"/>
        <w:rPr>
          <w:rFonts w:eastAsia="標楷體"/>
          <w:b/>
          <w:sz w:val="28"/>
        </w:rPr>
      </w:pPr>
      <w:r w:rsidRPr="00AE0D77">
        <w:rPr>
          <w:rFonts w:eastAsia="標楷體"/>
          <w:b/>
          <w:sz w:val="28"/>
        </w:rPr>
        <w:t>圖</w:t>
      </w:r>
      <w:r w:rsidRPr="00AE0D77">
        <w:rPr>
          <w:rFonts w:eastAsia="標楷體"/>
          <w:b/>
          <w:sz w:val="28"/>
        </w:rPr>
        <w:t>2</w:t>
      </w:r>
      <w:r w:rsidRPr="00AE0D77">
        <w:rPr>
          <w:rFonts w:eastAsia="標楷體"/>
          <w:b/>
          <w:sz w:val="28"/>
        </w:rPr>
        <w:t xml:space="preserve">　企業實施超值星期五及相關措施之比例</w:t>
      </w:r>
    </w:p>
    <w:p w:rsidR="00554063" w:rsidRPr="00AE0D77" w:rsidRDefault="00554063" w:rsidP="00554063">
      <w:pPr>
        <w:adjustRightInd w:val="0"/>
        <w:snapToGrid w:val="0"/>
        <w:spacing w:line="360" w:lineRule="auto"/>
        <w:jc w:val="center"/>
        <w:rPr>
          <w:rFonts w:eastAsia="標楷體"/>
          <w:sz w:val="28"/>
        </w:rPr>
      </w:pPr>
      <w:r w:rsidRPr="00AE0D77">
        <w:rPr>
          <w:rFonts w:eastAsia="標楷體"/>
          <w:b/>
          <w:noProof/>
          <w:sz w:val="28"/>
        </w:rPr>
        <w:drawing>
          <wp:inline distT="0" distB="0" distL="0" distR="0" wp14:anchorId="61ABE321" wp14:editId="1A354CCC">
            <wp:extent cx="5400040" cy="3150235"/>
            <wp:effectExtent l="0" t="0" r="0" b="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4063" w:rsidRPr="00AE0D77" w:rsidRDefault="00554063" w:rsidP="00554063">
      <w:pPr>
        <w:adjustRightInd w:val="0"/>
        <w:snapToGrid w:val="0"/>
        <w:spacing w:line="360" w:lineRule="auto"/>
        <w:rPr>
          <w:rFonts w:eastAsia="標楷體"/>
          <w:sz w:val="28"/>
        </w:rPr>
      </w:pPr>
      <w:r w:rsidRPr="00AE0D77">
        <w:rPr>
          <w:rFonts w:eastAsia="標楷體"/>
          <w:sz w:val="20"/>
        </w:rPr>
        <w:t>資料來源：</w:t>
      </w:r>
      <w:r w:rsidRPr="00AE0D77">
        <w:rPr>
          <w:rFonts w:eastAsia="標楷體"/>
          <w:sz w:val="20"/>
        </w:rPr>
        <w:t>INTAGE</w:t>
      </w:r>
      <w:r w:rsidRPr="00AE0D77">
        <w:rPr>
          <w:rFonts w:eastAsia="標楷體"/>
          <w:sz w:val="20"/>
        </w:rPr>
        <w:t>，網址：</w:t>
      </w:r>
      <w:r w:rsidRPr="00AE0D77">
        <w:rPr>
          <w:rFonts w:eastAsia="標楷體"/>
          <w:sz w:val="20"/>
        </w:rPr>
        <w:t>http://www.intage.co.jp/library/data/2017/03/intage_report20170303.pdf</w:t>
      </w:r>
      <w:r w:rsidRPr="00AE0D77">
        <w:rPr>
          <w:rFonts w:eastAsia="標楷體"/>
          <w:sz w:val="20"/>
        </w:rPr>
        <w:t>。</w:t>
      </w:r>
    </w:p>
    <w:p w:rsidR="00554063" w:rsidRPr="00AE0D77" w:rsidRDefault="00554063" w:rsidP="00554063">
      <w:pPr>
        <w:adjustRightInd w:val="0"/>
        <w:snapToGrid w:val="0"/>
        <w:spacing w:line="360" w:lineRule="auto"/>
        <w:jc w:val="center"/>
        <w:rPr>
          <w:rFonts w:eastAsia="標楷體"/>
          <w:b/>
          <w:sz w:val="28"/>
        </w:rPr>
      </w:pPr>
      <w:r w:rsidRPr="00AE0D77">
        <w:rPr>
          <w:rFonts w:eastAsia="標楷體"/>
          <w:b/>
          <w:sz w:val="28"/>
        </w:rPr>
        <w:t>圖</w:t>
      </w:r>
      <w:r w:rsidRPr="00AE0D77">
        <w:rPr>
          <w:rFonts w:eastAsia="標楷體"/>
          <w:b/>
          <w:sz w:val="28"/>
        </w:rPr>
        <w:t>3</w:t>
      </w:r>
      <w:r w:rsidRPr="00AE0D77">
        <w:rPr>
          <w:rFonts w:eastAsia="標楷體"/>
          <w:b/>
          <w:sz w:val="28"/>
        </w:rPr>
        <w:t xml:space="preserve">　企業實施超值星期五及相關措施之比例－按規模別分</w:t>
      </w:r>
    </w:p>
    <w:p w:rsidR="00C81B38" w:rsidRPr="00AE0D77" w:rsidRDefault="00554063" w:rsidP="00554063">
      <w:pPr>
        <w:adjustRightInd w:val="0"/>
        <w:snapToGrid w:val="0"/>
        <w:spacing w:line="360" w:lineRule="auto"/>
        <w:rPr>
          <w:rFonts w:eastAsia="標楷體"/>
          <w:sz w:val="28"/>
        </w:rPr>
      </w:pPr>
      <w:r w:rsidRPr="00AE0D77">
        <w:rPr>
          <w:rFonts w:eastAsia="標楷體"/>
          <w:sz w:val="28"/>
        </w:rPr>
        <w:t xml:space="preserve">　　</w:t>
      </w:r>
    </w:p>
    <w:p w:rsidR="00554063" w:rsidRPr="00AE0D77" w:rsidRDefault="00554063" w:rsidP="00C81B38">
      <w:pPr>
        <w:adjustRightInd w:val="0"/>
        <w:snapToGrid w:val="0"/>
        <w:spacing w:line="360" w:lineRule="auto"/>
        <w:ind w:firstLineChars="200" w:firstLine="560"/>
        <w:rPr>
          <w:rFonts w:eastAsia="標楷體"/>
          <w:sz w:val="28"/>
        </w:rPr>
      </w:pPr>
      <w:r w:rsidRPr="00AE0D77">
        <w:rPr>
          <w:rFonts w:eastAsia="標楷體"/>
          <w:sz w:val="28"/>
        </w:rPr>
        <w:t>另外，調查顯示受訪者在「超值星期五」下班後，有</w:t>
      </w:r>
      <w:r w:rsidRPr="00AE0D77">
        <w:rPr>
          <w:rFonts w:eastAsia="標楷體"/>
          <w:sz w:val="28"/>
        </w:rPr>
        <w:t>41.8%</w:t>
      </w:r>
      <w:r w:rsidRPr="00AE0D77">
        <w:rPr>
          <w:rFonts w:eastAsia="標楷體"/>
          <w:sz w:val="28"/>
        </w:rPr>
        <w:t>選擇回家度過</w:t>
      </w:r>
      <w:r w:rsidRPr="00AE0D77">
        <w:rPr>
          <w:rFonts w:eastAsia="標楷體"/>
          <w:sz w:val="28"/>
        </w:rPr>
        <w:t>(</w:t>
      </w:r>
      <w:r w:rsidRPr="00AE0D77">
        <w:rPr>
          <w:rFonts w:eastAsia="標楷體"/>
          <w:sz w:val="28"/>
        </w:rPr>
        <w:t>自宅で過ごした</w:t>
      </w:r>
      <w:r w:rsidRPr="00AE0D77">
        <w:rPr>
          <w:rFonts w:eastAsia="標楷體"/>
          <w:sz w:val="28"/>
        </w:rPr>
        <w:t>)</w:t>
      </w:r>
      <w:r w:rsidRPr="00AE0D77">
        <w:rPr>
          <w:rFonts w:eastAsia="標楷體"/>
          <w:sz w:val="28"/>
        </w:rPr>
        <w:t>，</w:t>
      </w:r>
      <w:r w:rsidRPr="00AE0D77">
        <w:rPr>
          <w:rFonts w:eastAsia="標楷體"/>
          <w:sz w:val="28"/>
        </w:rPr>
        <w:t>32.1%</w:t>
      </w:r>
      <w:r w:rsidRPr="00AE0D77">
        <w:rPr>
          <w:rFonts w:eastAsia="標楷體"/>
          <w:sz w:val="28"/>
        </w:rPr>
        <w:t>選擇聚餐</w:t>
      </w:r>
      <w:r w:rsidRPr="00AE0D77">
        <w:rPr>
          <w:rFonts w:eastAsia="標楷體"/>
          <w:sz w:val="28"/>
        </w:rPr>
        <w:t>(</w:t>
      </w:r>
      <w:r w:rsidRPr="00AE0D77">
        <w:rPr>
          <w:rFonts w:eastAsia="標楷體"/>
          <w:sz w:val="28"/>
        </w:rPr>
        <w:t>食事に行った</w:t>
      </w:r>
      <w:r w:rsidRPr="00AE0D77">
        <w:rPr>
          <w:rFonts w:eastAsia="標楷體"/>
          <w:sz w:val="28"/>
        </w:rPr>
        <w:t>)</w:t>
      </w:r>
      <w:r w:rsidRPr="00AE0D77">
        <w:rPr>
          <w:rFonts w:eastAsia="標楷體"/>
          <w:sz w:val="28"/>
        </w:rPr>
        <w:t>，購物</w:t>
      </w:r>
      <w:r w:rsidRPr="00AE0D77">
        <w:rPr>
          <w:rFonts w:eastAsia="標楷體"/>
          <w:sz w:val="28"/>
        </w:rPr>
        <w:t>(</w:t>
      </w:r>
      <w:r w:rsidRPr="00AE0D77">
        <w:rPr>
          <w:rFonts w:eastAsia="標楷體"/>
          <w:sz w:val="28"/>
        </w:rPr>
        <w:t>買い物に行った</w:t>
      </w:r>
      <w:r w:rsidRPr="00AE0D77">
        <w:rPr>
          <w:rFonts w:eastAsia="標楷體"/>
          <w:sz w:val="28"/>
        </w:rPr>
        <w:t>)</w:t>
      </w:r>
      <w:r w:rsidRPr="00AE0D77">
        <w:rPr>
          <w:rFonts w:eastAsia="標楷體"/>
          <w:sz w:val="28"/>
        </w:rPr>
        <w:t>則為</w:t>
      </w:r>
      <w:r w:rsidRPr="00AE0D77">
        <w:rPr>
          <w:rFonts w:eastAsia="標楷體"/>
          <w:sz w:val="28"/>
        </w:rPr>
        <w:t>26.6%(</w:t>
      </w:r>
      <w:r w:rsidRPr="00AE0D77">
        <w:rPr>
          <w:rFonts w:eastAsia="標楷體"/>
          <w:sz w:val="28"/>
        </w:rPr>
        <w:t>如圖</w:t>
      </w:r>
      <w:r w:rsidRPr="00AE0D77">
        <w:rPr>
          <w:rFonts w:eastAsia="標楷體"/>
          <w:sz w:val="28"/>
        </w:rPr>
        <w:t>4)</w:t>
      </w:r>
      <w:r w:rsidRPr="00AE0D77">
        <w:rPr>
          <w:rFonts w:eastAsia="標楷體"/>
          <w:sz w:val="28"/>
        </w:rPr>
        <w:t>；從總比例來看，提早下班的員工之中，選擇聚餐和購物的總人數超過一半</w:t>
      </w:r>
      <w:r w:rsidRPr="00AE0D77">
        <w:rPr>
          <w:rFonts w:eastAsia="標楷體"/>
          <w:sz w:val="28"/>
        </w:rPr>
        <w:t>(58.7%)</w:t>
      </w:r>
      <w:r w:rsidRPr="00AE0D77">
        <w:rPr>
          <w:rFonts w:eastAsia="標楷體"/>
          <w:sz w:val="28"/>
        </w:rPr>
        <w:t>，顯示「超值星期五」確實有誘發消費的效果；當然，也有可能只是讓員工將原先規劃在週末的消費提前，除此之外，由於目前實施「超值星期五」的企業比例相當低，政策效果同樣需要進一步推估。此外，未實施的企業員工亦對「超值星期五」的公平性產生質疑</w:t>
      </w:r>
      <w:r w:rsidRPr="00AE0D77">
        <w:rPr>
          <w:rStyle w:val="aff6"/>
          <w:rFonts w:eastAsia="標楷體"/>
          <w:sz w:val="28"/>
        </w:rPr>
        <w:footnoteReference w:id="11"/>
      </w:r>
      <w:r w:rsidRPr="00AE0D77">
        <w:rPr>
          <w:rFonts w:eastAsia="標楷體"/>
          <w:sz w:val="28"/>
        </w:rPr>
        <w:t>。</w:t>
      </w:r>
    </w:p>
    <w:p w:rsidR="00554063" w:rsidRPr="00AE0D77" w:rsidRDefault="00554063" w:rsidP="00554063">
      <w:pPr>
        <w:adjustRightInd w:val="0"/>
        <w:snapToGrid w:val="0"/>
        <w:spacing w:line="360" w:lineRule="auto"/>
        <w:rPr>
          <w:rFonts w:eastAsia="標楷體"/>
          <w:sz w:val="28"/>
        </w:rPr>
      </w:pPr>
    </w:p>
    <w:p w:rsidR="00554063" w:rsidRPr="00AE0D77" w:rsidRDefault="00554063" w:rsidP="00554063">
      <w:pPr>
        <w:adjustRightInd w:val="0"/>
        <w:snapToGrid w:val="0"/>
        <w:spacing w:line="360" w:lineRule="auto"/>
        <w:rPr>
          <w:rFonts w:eastAsia="標楷體"/>
          <w:sz w:val="28"/>
        </w:rPr>
      </w:pPr>
    </w:p>
    <w:p w:rsidR="00554063" w:rsidRPr="00AE0D77" w:rsidRDefault="00554063" w:rsidP="00554063">
      <w:pPr>
        <w:adjustRightInd w:val="0"/>
        <w:snapToGrid w:val="0"/>
        <w:spacing w:line="360" w:lineRule="auto"/>
        <w:jc w:val="center"/>
        <w:rPr>
          <w:rFonts w:eastAsia="標楷體"/>
          <w:sz w:val="28"/>
        </w:rPr>
      </w:pPr>
      <w:r w:rsidRPr="00AE0D77">
        <w:rPr>
          <w:rFonts w:eastAsia="標楷體"/>
          <w:noProof/>
          <w:sz w:val="28"/>
        </w:rPr>
        <mc:AlternateContent>
          <mc:Choice Requires="wps">
            <w:drawing>
              <wp:anchor distT="0" distB="0" distL="114300" distR="114300" simplePos="0" relativeHeight="252472832" behindDoc="0" locked="0" layoutInCell="1" allowOverlap="1" wp14:anchorId="09CFDF7E" wp14:editId="06BD8CCA">
                <wp:simplePos x="0" y="0"/>
                <wp:positionH relativeFrom="column">
                  <wp:posOffset>2535184</wp:posOffset>
                </wp:positionH>
                <wp:positionV relativeFrom="paragraph">
                  <wp:posOffset>2641600</wp:posOffset>
                </wp:positionV>
                <wp:extent cx="2458529" cy="1403985"/>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529" cy="1403985"/>
                        </a:xfrm>
                        <a:prstGeom prst="rect">
                          <a:avLst/>
                        </a:prstGeom>
                        <a:noFill/>
                        <a:ln w="9525">
                          <a:noFill/>
                          <a:miter lim="800000"/>
                          <a:headEnd/>
                          <a:tailEnd/>
                        </a:ln>
                      </wps:spPr>
                      <wps:txbx>
                        <w:txbxContent>
                          <w:p w:rsidR="006D5A67" w:rsidRPr="004778B7" w:rsidRDefault="006D5A67" w:rsidP="00554063">
                            <w:pPr>
                              <w:rPr>
                                <w:rFonts w:eastAsia="標楷體"/>
                                <w:sz w:val="16"/>
                              </w:rPr>
                            </w:pPr>
                            <w:r w:rsidRPr="004778B7">
                              <w:rPr>
                                <w:rFonts w:eastAsia="標楷體"/>
                                <w:sz w:val="16"/>
                              </w:rPr>
                              <w:t>備註：回答有提早下班的統計人數</w:t>
                            </w:r>
                            <w:r w:rsidRPr="004778B7">
                              <w:rPr>
                                <w:rFonts w:eastAsia="標楷體"/>
                                <w:sz w:val="16"/>
                              </w:rPr>
                              <w:t>(126</w:t>
                            </w:r>
                            <w:r w:rsidRPr="004778B7">
                              <w:rPr>
                                <w:rFonts w:eastAsia="標楷體"/>
                                <w:sz w:val="16"/>
                              </w:rPr>
                              <w:t>份樣本</w:t>
                            </w:r>
                            <w:r w:rsidRPr="004778B7">
                              <w:rPr>
                                <w:rFonts w:eastAsia="標楷體"/>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99.6pt;margin-top:208pt;width:193.6pt;height:110.55pt;z-index:252472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" filled="f" stroked="f">
                <v:textbox style="mso-fit-shape-to-text:t">
                  <w:txbxContent>
                    <w:p w:rsidR="006D5A67" w:rsidRPr="004778B7" w:rsidRDefault="006D5A67" w:rsidP="00554063">
                      <w:pPr>
                        <w:rPr>
                          <w:rFonts w:eastAsia="標楷體"/>
                          <w:sz w:val="16"/>
                        </w:rPr>
                      </w:pPr>
                      <w:r w:rsidRPr="004778B7">
                        <w:rPr>
                          <w:rFonts w:eastAsia="標楷體"/>
                          <w:sz w:val="16"/>
                        </w:rPr>
                        <w:t>備註：回答有提早下班的統計人數</w:t>
                      </w:r>
                      <w:r w:rsidRPr="004778B7">
                        <w:rPr>
                          <w:rFonts w:eastAsia="標楷體"/>
                          <w:sz w:val="16"/>
                        </w:rPr>
                        <w:t>(126</w:t>
                      </w:r>
                      <w:r w:rsidRPr="004778B7">
                        <w:rPr>
                          <w:rFonts w:eastAsia="標楷體"/>
                          <w:sz w:val="16"/>
                        </w:rPr>
                        <w:t>份樣本</w:t>
                      </w:r>
                      <w:r w:rsidRPr="004778B7">
                        <w:rPr>
                          <w:rFonts w:eastAsia="標楷體"/>
                          <w:sz w:val="16"/>
                        </w:rPr>
                        <w:t>)</w:t>
                      </w:r>
                    </w:p>
                  </w:txbxContent>
                </v:textbox>
              </v:shape>
            </w:pict>
          </mc:Fallback>
        </mc:AlternateContent>
      </w:r>
      <w:r w:rsidRPr="00AE0D77">
        <w:rPr>
          <w:rFonts w:eastAsia="標楷體"/>
          <w:noProof/>
          <w:sz w:val="28"/>
        </w:rPr>
        <w:drawing>
          <wp:inline distT="0" distB="0" distL="0" distR="0" wp14:anchorId="30CED4B6" wp14:editId="09C30DDB">
            <wp:extent cx="4778734" cy="3045349"/>
            <wp:effectExtent l="0" t="0" r="3175" b="3175"/>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54063" w:rsidRPr="00AE0D77" w:rsidRDefault="00554063" w:rsidP="00554063">
      <w:pPr>
        <w:adjustRightInd w:val="0"/>
        <w:snapToGrid w:val="0"/>
        <w:spacing w:line="360" w:lineRule="auto"/>
        <w:ind w:leftChars="177" w:left="425"/>
        <w:rPr>
          <w:rFonts w:eastAsia="標楷體"/>
          <w:sz w:val="28"/>
        </w:rPr>
      </w:pPr>
      <w:r w:rsidRPr="00AE0D77">
        <w:rPr>
          <w:rFonts w:eastAsia="標楷體"/>
          <w:sz w:val="20"/>
        </w:rPr>
        <w:t>資料來源：</w:t>
      </w:r>
      <w:r w:rsidRPr="00AE0D77">
        <w:rPr>
          <w:rFonts w:eastAsia="標楷體"/>
          <w:sz w:val="20"/>
        </w:rPr>
        <w:t>INTAGE</w:t>
      </w:r>
      <w:r w:rsidRPr="00AE0D77">
        <w:rPr>
          <w:rFonts w:eastAsia="標楷體"/>
          <w:sz w:val="20"/>
        </w:rPr>
        <w:t>，網址：</w:t>
      </w:r>
      <w:r w:rsidRPr="00AE0D77">
        <w:rPr>
          <w:rFonts w:eastAsia="標楷體"/>
          <w:sz w:val="20"/>
        </w:rPr>
        <w:t>http://www.intage.co.jp/library/data/2017/03/intage_report20170303.pdf</w:t>
      </w:r>
      <w:r w:rsidRPr="00AE0D77">
        <w:rPr>
          <w:rFonts w:eastAsia="標楷體"/>
          <w:sz w:val="20"/>
        </w:rPr>
        <w:t>。</w:t>
      </w:r>
    </w:p>
    <w:p w:rsidR="00554063" w:rsidRPr="00AE0D77" w:rsidRDefault="00554063" w:rsidP="00554063">
      <w:pPr>
        <w:adjustRightInd w:val="0"/>
        <w:snapToGrid w:val="0"/>
        <w:spacing w:afterLines="100" w:after="360" w:line="360" w:lineRule="auto"/>
        <w:jc w:val="center"/>
        <w:rPr>
          <w:rFonts w:eastAsia="標楷體"/>
          <w:b/>
          <w:sz w:val="28"/>
        </w:rPr>
      </w:pPr>
      <w:r w:rsidRPr="00AE0D77">
        <w:rPr>
          <w:rFonts w:eastAsia="標楷體"/>
          <w:b/>
          <w:sz w:val="28"/>
        </w:rPr>
        <w:t>圖</w:t>
      </w:r>
      <w:r w:rsidRPr="00AE0D77">
        <w:rPr>
          <w:rFonts w:eastAsia="標楷體"/>
          <w:b/>
          <w:sz w:val="28"/>
        </w:rPr>
        <w:t>4</w:t>
      </w:r>
      <w:r w:rsidRPr="00AE0D77">
        <w:rPr>
          <w:rFonts w:eastAsia="標楷體"/>
          <w:b/>
          <w:sz w:val="28"/>
        </w:rPr>
        <w:t xml:space="preserve">　「超值星期五」員工提早下班後，從事行為之比例</w:t>
      </w:r>
    </w:p>
    <w:p w:rsidR="00554063" w:rsidRPr="00AE0D77" w:rsidRDefault="00554063" w:rsidP="00554063">
      <w:pPr>
        <w:adjustRightInd w:val="0"/>
        <w:snapToGrid w:val="0"/>
        <w:spacing w:line="360" w:lineRule="auto"/>
        <w:rPr>
          <w:rFonts w:eastAsia="標楷體"/>
          <w:sz w:val="28"/>
        </w:rPr>
      </w:pPr>
      <w:r w:rsidRPr="00AE0D77">
        <w:rPr>
          <w:rFonts w:eastAsia="標楷體"/>
          <w:sz w:val="28"/>
        </w:rPr>
        <w:t xml:space="preserve">　　　　　　</w:t>
      </w:r>
    </w:p>
    <w:p w:rsidR="00554063" w:rsidRPr="00AE0D77" w:rsidRDefault="00554063" w:rsidP="00554063">
      <w:pPr>
        <w:adjustRightInd w:val="0"/>
        <w:snapToGrid w:val="0"/>
        <w:spacing w:line="360" w:lineRule="auto"/>
        <w:rPr>
          <w:rFonts w:eastAsia="標楷體"/>
          <w:b/>
          <w:sz w:val="28"/>
        </w:rPr>
      </w:pPr>
      <w:r w:rsidRPr="00AE0D77">
        <w:rPr>
          <w:rFonts w:eastAsia="標楷體"/>
          <w:b/>
          <w:sz w:val="28"/>
        </w:rPr>
        <w:t>四、探討消費的本質及政策建議</w:t>
      </w:r>
    </w:p>
    <w:p w:rsidR="00554063" w:rsidRPr="00AE0D77" w:rsidRDefault="00554063" w:rsidP="00554063">
      <w:pPr>
        <w:adjustRightInd w:val="0"/>
        <w:snapToGrid w:val="0"/>
        <w:spacing w:line="360" w:lineRule="auto"/>
        <w:rPr>
          <w:rFonts w:eastAsia="標楷體"/>
          <w:sz w:val="28"/>
        </w:rPr>
      </w:pPr>
      <w:r w:rsidRPr="00AE0D77">
        <w:rPr>
          <w:rFonts w:eastAsia="標楷體"/>
          <w:sz w:val="28"/>
        </w:rPr>
        <w:t xml:space="preserve">　　由於刺激消費政策存在許多侷限性，讓乘數效果不如理論來得完美，政府未來若要從政策著手帶動民間消費，本文提出以下幾個思考方向：</w:t>
      </w:r>
    </w:p>
    <w:p w:rsidR="00554063" w:rsidRPr="00AE0D77" w:rsidRDefault="00554063" w:rsidP="00554063">
      <w:pPr>
        <w:adjustRightInd w:val="0"/>
        <w:snapToGrid w:val="0"/>
        <w:spacing w:beforeLines="50" w:before="180" w:line="360" w:lineRule="auto"/>
        <w:rPr>
          <w:rFonts w:eastAsia="標楷體"/>
          <w:b/>
          <w:sz w:val="28"/>
        </w:rPr>
      </w:pPr>
      <w:r w:rsidRPr="00AE0D77">
        <w:rPr>
          <w:rFonts w:eastAsia="標楷體"/>
          <w:b/>
          <w:sz w:val="28"/>
        </w:rPr>
        <w:t>（一）從消費與所得的因果關係思考</w:t>
      </w:r>
    </w:p>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一般而言，消費區分為誘發性</w:t>
      </w:r>
      <w:r w:rsidRPr="00AE0D77">
        <w:rPr>
          <w:rFonts w:eastAsia="標楷體"/>
          <w:sz w:val="28"/>
        </w:rPr>
        <w:t>(</w:t>
      </w:r>
      <w:r w:rsidRPr="00AE0D77">
        <w:rPr>
          <w:rFonts w:eastAsia="標楷體"/>
          <w:sz w:val="28"/>
        </w:rPr>
        <w:t>與所得相關的</w:t>
      </w:r>
      <w:r w:rsidRPr="00AE0D77">
        <w:rPr>
          <w:rFonts w:eastAsia="標楷體"/>
          <w:sz w:val="28"/>
        </w:rPr>
        <w:t>)</w:t>
      </w:r>
      <w:r w:rsidRPr="00AE0D77">
        <w:rPr>
          <w:rFonts w:eastAsia="標楷體"/>
          <w:sz w:val="28"/>
        </w:rPr>
        <w:t>消費，以及自發性</w:t>
      </w:r>
      <w:r w:rsidRPr="00AE0D77">
        <w:rPr>
          <w:rFonts w:eastAsia="標楷體"/>
          <w:sz w:val="28"/>
        </w:rPr>
        <w:t>(</w:t>
      </w:r>
      <w:r w:rsidRPr="00AE0D77">
        <w:rPr>
          <w:rFonts w:eastAsia="標楷體"/>
          <w:sz w:val="28"/>
        </w:rPr>
        <w:t>與所得無關的</w:t>
      </w:r>
      <w:r w:rsidRPr="00AE0D77">
        <w:rPr>
          <w:rFonts w:eastAsia="標楷體"/>
          <w:sz w:val="28"/>
        </w:rPr>
        <w:t>)</w:t>
      </w:r>
      <w:r w:rsidRPr="00AE0D77">
        <w:rPr>
          <w:rFonts w:eastAsia="標楷體"/>
          <w:sz w:val="28"/>
        </w:rPr>
        <w:t>消費，而乘數效果所追求的是自發性消費增加，如果景氣的衰退並不是因為自發性消費減少，乘數效果自然有限。也就是說，雖然從過去的統計資料觀察到民間消費的衰退</w:t>
      </w:r>
      <w:r w:rsidRPr="00AE0D77">
        <w:rPr>
          <w:rFonts w:eastAsia="標楷體"/>
          <w:sz w:val="28"/>
        </w:rPr>
        <w:t>(</w:t>
      </w:r>
      <w:r w:rsidRPr="00AE0D77">
        <w:rPr>
          <w:rFonts w:eastAsia="標楷體"/>
          <w:sz w:val="28"/>
        </w:rPr>
        <w:t>如圖</w:t>
      </w:r>
      <w:r w:rsidRPr="00AE0D77">
        <w:rPr>
          <w:rFonts w:eastAsia="標楷體"/>
          <w:sz w:val="28"/>
        </w:rPr>
        <w:t>5)</w:t>
      </w:r>
      <w:r w:rsidRPr="00AE0D77">
        <w:rPr>
          <w:rFonts w:eastAsia="標楷體"/>
          <w:sz w:val="28"/>
        </w:rPr>
        <w:t>，但很可能是出於不景氣的結果，而非不景氣的原因。</w:t>
      </w:r>
    </w:p>
    <w:p w:rsidR="00554063" w:rsidRPr="00AE0D77" w:rsidRDefault="00554063" w:rsidP="00554063">
      <w:pPr>
        <w:adjustRightInd w:val="0"/>
        <w:snapToGrid w:val="0"/>
        <w:spacing w:line="360" w:lineRule="auto"/>
        <w:rPr>
          <w:rFonts w:eastAsia="標楷體"/>
          <w:sz w:val="28"/>
        </w:rPr>
      </w:pPr>
      <w:r w:rsidRPr="00AE0D77">
        <w:rPr>
          <w:rFonts w:eastAsia="標楷體"/>
          <w:noProof/>
          <w:sz w:val="28"/>
        </w:rPr>
        <w:drawing>
          <wp:inline distT="0" distB="0" distL="0" distR="0" wp14:anchorId="1AF745D4" wp14:editId="1B3EA37E">
            <wp:extent cx="5189517" cy="2636322"/>
            <wp:effectExtent l="0" t="0" r="11430" b="1206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54063" w:rsidRPr="00AE0D77" w:rsidRDefault="00554063" w:rsidP="00554063">
      <w:pPr>
        <w:adjustRightInd w:val="0"/>
        <w:snapToGrid w:val="0"/>
        <w:spacing w:line="360" w:lineRule="auto"/>
        <w:rPr>
          <w:rFonts w:eastAsia="標楷體"/>
          <w:sz w:val="20"/>
        </w:rPr>
      </w:pPr>
      <w:r w:rsidRPr="00AE0D77">
        <w:rPr>
          <w:rFonts w:eastAsia="標楷體"/>
          <w:sz w:val="20"/>
        </w:rPr>
        <w:t>資料來源：行政院主計總處。</w:t>
      </w:r>
    </w:p>
    <w:p w:rsidR="00554063" w:rsidRPr="00AE0D77" w:rsidRDefault="00554063" w:rsidP="00554063">
      <w:pPr>
        <w:adjustRightInd w:val="0"/>
        <w:snapToGrid w:val="0"/>
        <w:spacing w:afterLines="100" w:after="360" w:line="360" w:lineRule="auto"/>
        <w:jc w:val="center"/>
        <w:rPr>
          <w:rFonts w:eastAsia="標楷體"/>
          <w:b/>
          <w:sz w:val="28"/>
        </w:rPr>
      </w:pPr>
      <w:r w:rsidRPr="00AE0D77">
        <w:rPr>
          <w:rFonts w:eastAsia="標楷體"/>
          <w:b/>
          <w:sz w:val="28"/>
        </w:rPr>
        <w:t>圖</w:t>
      </w:r>
      <w:r w:rsidRPr="00AE0D77">
        <w:rPr>
          <w:rFonts w:eastAsia="標楷體"/>
          <w:b/>
          <w:sz w:val="28"/>
        </w:rPr>
        <w:t>5</w:t>
      </w:r>
      <w:r w:rsidRPr="00AE0D77">
        <w:rPr>
          <w:rFonts w:eastAsia="標楷體"/>
          <w:b/>
          <w:sz w:val="28"/>
        </w:rPr>
        <w:t xml:space="preserve">　</w:t>
      </w:r>
      <w:r w:rsidRPr="00AE0D77">
        <w:rPr>
          <w:rFonts w:eastAsia="標楷體"/>
          <w:b/>
          <w:sz w:val="28"/>
        </w:rPr>
        <w:t>GDP</w:t>
      </w:r>
      <w:r w:rsidRPr="00AE0D77">
        <w:rPr>
          <w:rFonts w:eastAsia="標楷體"/>
          <w:b/>
          <w:sz w:val="28"/>
        </w:rPr>
        <w:t>與民間消費成長率</w:t>
      </w:r>
    </w:p>
    <w:p w:rsidR="00554063" w:rsidRPr="00AE0D77" w:rsidRDefault="00554063" w:rsidP="00554063">
      <w:pPr>
        <w:adjustRightInd w:val="0"/>
        <w:snapToGrid w:val="0"/>
        <w:spacing w:beforeLines="50" w:before="180" w:line="360" w:lineRule="auto"/>
        <w:rPr>
          <w:rFonts w:eastAsia="標楷體"/>
          <w:b/>
          <w:sz w:val="28"/>
        </w:rPr>
      </w:pPr>
      <w:r w:rsidRPr="00AE0D77">
        <w:rPr>
          <w:rFonts w:eastAsia="標楷體"/>
          <w:b/>
          <w:sz w:val="28"/>
        </w:rPr>
        <w:t>（二）從消費結構思考</w:t>
      </w:r>
    </w:p>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如果民眾預期未來的消費水準太高，也會讓當前消費行為趨於保守，而臺灣的房價則是相當值得探討的問題點；本文比較臺灣及日本兩大都會區之房價所得比</w:t>
      </w:r>
      <w:r w:rsidRPr="00AE0D77">
        <w:rPr>
          <w:rFonts w:eastAsia="標楷體"/>
          <w:sz w:val="28"/>
        </w:rPr>
        <w:t>(</w:t>
      </w:r>
      <w:r w:rsidRPr="00AE0D77">
        <w:rPr>
          <w:rFonts w:eastAsia="標楷體"/>
          <w:sz w:val="28"/>
        </w:rPr>
        <w:t>如表</w:t>
      </w:r>
      <w:r w:rsidRPr="00AE0D77">
        <w:rPr>
          <w:rFonts w:eastAsia="標楷體"/>
          <w:sz w:val="28"/>
        </w:rPr>
        <w:t>1)</w:t>
      </w:r>
      <w:r w:rsidRPr="00AE0D77">
        <w:rPr>
          <w:rFonts w:eastAsia="標楷體"/>
          <w:sz w:val="28"/>
        </w:rPr>
        <w:t>，臺北高於東京都區部</w:t>
      </w:r>
      <w:r w:rsidRPr="00AE0D77">
        <w:rPr>
          <w:rFonts w:eastAsia="標楷體"/>
          <w:sz w:val="28"/>
        </w:rPr>
        <w:t>(</w:t>
      </w:r>
      <w:r w:rsidRPr="00AE0D77">
        <w:rPr>
          <w:rFonts w:eastAsia="標楷體"/>
          <w:sz w:val="28"/>
        </w:rPr>
        <w:t>即東京</w:t>
      </w:r>
      <w:r w:rsidRPr="00AE0D77">
        <w:rPr>
          <w:rFonts w:eastAsia="標楷體"/>
          <w:sz w:val="28"/>
        </w:rPr>
        <w:t>23</w:t>
      </w:r>
      <w:r w:rsidRPr="00AE0D77">
        <w:rPr>
          <w:rFonts w:eastAsia="標楷體"/>
          <w:sz w:val="28"/>
        </w:rPr>
        <w:t>區</w:t>
      </w:r>
      <w:r w:rsidRPr="00AE0D77">
        <w:rPr>
          <w:rFonts w:eastAsia="標楷體"/>
          <w:sz w:val="28"/>
        </w:rPr>
        <w:t>)</w:t>
      </w:r>
      <w:r w:rsidRPr="00AE0D77">
        <w:rPr>
          <w:rFonts w:eastAsia="標楷體"/>
          <w:sz w:val="28"/>
        </w:rPr>
        <w:t>約</w:t>
      </w:r>
      <w:r w:rsidRPr="00AE0D77">
        <w:rPr>
          <w:rFonts w:eastAsia="標楷體"/>
          <w:sz w:val="28"/>
        </w:rPr>
        <w:t>3</w:t>
      </w:r>
      <w:r w:rsidRPr="00AE0D77">
        <w:rPr>
          <w:rFonts w:eastAsia="標楷體"/>
          <w:sz w:val="28"/>
        </w:rPr>
        <w:t>個倍數，高雄也高於大阪約</w:t>
      </w:r>
      <w:r w:rsidRPr="00AE0D77">
        <w:rPr>
          <w:rFonts w:eastAsia="標楷體"/>
          <w:sz w:val="28"/>
        </w:rPr>
        <w:t>2</w:t>
      </w:r>
      <w:r w:rsidRPr="00AE0D77">
        <w:rPr>
          <w:rFonts w:eastAsia="標楷體"/>
          <w:sz w:val="28"/>
        </w:rPr>
        <w:t>個倍數，顯示臺灣消費支出結構有相對高的比例用在支付房貸，也因此更不容易受到短期刺激消費政策影響，改變消費行為。</w:t>
      </w:r>
    </w:p>
    <w:p w:rsidR="00554063" w:rsidRPr="00AE0D77" w:rsidRDefault="00554063" w:rsidP="00554063">
      <w:pPr>
        <w:adjustRightInd w:val="0"/>
        <w:snapToGrid w:val="0"/>
        <w:spacing w:line="360" w:lineRule="auto"/>
        <w:ind w:leftChars="200" w:left="480"/>
        <w:rPr>
          <w:rFonts w:eastAsia="標楷體"/>
          <w:sz w:val="28"/>
        </w:rPr>
      </w:pPr>
    </w:p>
    <w:tbl>
      <w:tblPr>
        <w:tblStyle w:val="affff4"/>
        <w:tblW w:w="0" w:type="auto"/>
        <w:jc w:val="center"/>
        <w:tblInd w:w="52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09"/>
        <w:gridCol w:w="293"/>
        <w:gridCol w:w="1404"/>
        <w:gridCol w:w="1325"/>
        <w:gridCol w:w="247"/>
        <w:gridCol w:w="1378"/>
        <w:gridCol w:w="1309"/>
      </w:tblGrid>
      <w:tr w:rsidR="00554063" w:rsidRPr="00AE0D77" w:rsidTr="00C81B38">
        <w:trPr>
          <w:jc w:val="center"/>
        </w:trPr>
        <w:tc>
          <w:tcPr>
            <w:tcW w:w="7441" w:type="dxa"/>
            <w:gridSpan w:val="8"/>
            <w:tcBorders>
              <w:top w:val="nil"/>
            </w:tcBorders>
            <w:vAlign w:val="center"/>
          </w:tcPr>
          <w:p w:rsidR="00554063" w:rsidRPr="00AE0D77" w:rsidRDefault="00554063" w:rsidP="00C81B38">
            <w:pPr>
              <w:adjustRightInd w:val="0"/>
              <w:snapToGrid w:val="0"/>
              <w:spacing w:beforeLines="50" w:before="180"/>
              <w:jc w:val="center"/>
              <w:rPr>
                <w:rFonts w:eastAsia="標楷體"/>
                <w:b/>
                <w:sz w:val="28"/>
              </w:rPr>
            </w:pPr>
            <w:r w:rsidRPr="00AE0D77">
              <w:rPr>
                <w:rFonts w:eastAsia="標楷體"/>
                <w:b/>
                <w:sz w:val="28"/>
              </w:rPr>
              <w:t>表</w:t>
            </w:r>
            <w:r w:rsidRPr="00AE0D77">
              <w:rPr>
                <w:rFonts w:eastAsia="標楷體"/>
                <w:b/>
                <w:sz w:val="28"/>
              </w:rPr>
              <w:t>1</w:t>
            </w:r>
            <w:r w:rsidRPr="00AE0D77">
              <w:rPr>
                <w:rFonts w:eastAsia="標楷體"/>
                <w:b/>
                <w:sz w:val="28"/>
              </w:rPr>
              <w:t xml:space="preserve">　</w:t>
            </w:r>
            <w:r w:rsidRPr="00AE0D77">
              <w:rPr>
                <w:rFonts w:eastAsia="標楷體"/>
                <w:sz w:val="28"/>
              </w:rPr>
              <w:t>臺</w:t>
            </w:r>
            <w:r w:rsidRPr="00AE0D77">
              <w:rPr>
                <w:rFonts w:eastAsia="標楷體"/>
                <w:b/>
                <w:sz w:val="28"/>
              </w:rPr>
              <w:t>灣及日本房價所得比</w:t>
            </w:r>
          </w:p>
        </w:tc>
      </w:tr>
      <w:tr w:rsidR="00554063" w:rsidRPr="00AE0D77" w:rsidTr="00C81B38">
        <w:trPr>
          <w:jc w:val="center"/>
        </w:trPr>
        <w:tc>
          <w:tcPr>
            <w:tcW w:w="1485" w:type="dxa"/>
            <w:gridSpan w:val="2"/>
            <w:vMerge w:val="restart"/>
            <w:tcBorders>
              <w:top w:val="single" w:sz="12" w:space="0" w:color="auto"/>
            </w:tcBorders>
            <w:vAlign w:val="center"/>
          </w:tcPr>
          <w:p w:rsidR="00554063" w:rsidRPr="00AE0D77" w:rsidRDefault="00554063" w:rsidP="00C81B38">
            <w:pPr>
              <w:adjustRightInd w:val="0"/>
              <w:snapToGrid w:val="0"/>
              <w:spacing w:line="300" w:lineRule="auto"/>
              <w:jc w:val="center"/>
              <w:rPr>
                <w:rFonts w:eastAsia="標楷體"/>
              </w:rPr>
            </w:pPr>
            <w:r w:rsidRPr="00AE0D77">
              <w:rPr>
                <w:rFonts w:eastAsia="標楷體"/>
              </w:rPr>
              <w:t>年</w:t>
            </w:r>
            <w:r w:rsidRPr="00AE0D77">
              <w:rPr>
                <w:rFonts w:eastAsia="標楷體"/>
              </w:rPr>
              <w:t>(</w:t>
            </w:r>
            <w:r w:rsidRPr="00AE0D77">
              <w:rPr>
                <w:rFonts w:eastAsia="標楷體"/>
              </w:rPr>
              <w:t>季</w:t>
            </w:r>
            <w:r w:rsidRPr="00AE0D77">
              <w:rPr>
                <w:rFonts w:eastAsia="標楷體"/>
              </w:rPr>
              <w:t>)</w:t>
            </w:r>
            <w:r w:rsidRPr="00AE0D77">
              <w:rPr>
                <w:rFonts w:eastAsia="標楷體"/>
              </w:rPr>
              <w:t>別</w:t>
            </w:r>
          </w:p>
        </w:tc>
        <w:tc>
          <w:tcPr>
            <w:tcW w:w="293" w:type="dxa"/>
            <w:tcBorders>
              <w:top w:val="single" w:sz="12" w:space="0" w:color="auto"/>
              <w:bottom w:val="nil"/>
            </w:tcBorders>
          </w:tcPr>
          <w:p w:rsidR="00554063" w:rsidRPr="00AE0D77" w:rsidRDefault="00554063" w:rsidP="00C81B38">
            <w:pPr>
              <w:adjustRightInd w:val="0"/>
              <w:snapToGrid w:val="0"/>
              <w:spacing w:line="300" w:lineRule="auto"/>
              <w:rPr>
                <w:rFonts w:eastAsia="標楷體"/>
              </w:rPr>
            </w:pPr>
          </w:p>
        </w:tc>
        <w:tc>
          <w:tcPr>
            <w:tcW w:w="5663" w:type="dxa"/>
            <w:gridSpan w:val="5"/>
            <w:tcBorders>
              <w:top w:val="single" w:sz="12" w:space="0" w:color="auto"/>
              <w:bottom w:val="single" w:sz="4" w:space="0" w:color="auto"/>
            </w:tcBorders>
          </w:tcPr>
          <w:p w:rsidR="00554063" w:rsidRPr="00AE0D77" w:rsidRDefault="00554063" w:rsidP="00C81B38">
            <w:pPr>
              <w:adjustRightInd w:val="0"/>
              <w:snapToGrid w:val="0"/>
              <w:spacing w:beforeLines="50" w:before="180"/>
              <w:jc w:val="center"/>
              <w:rPr>
                <w:rFonts w:eastAsia="標楷體"/>
              </w:rPr>
            </w:pPr>
            <w:r w:rsidRPr="00AE0D77">
              <w:rPr>
                <w:rFonts w:eastAsia="標楷體"/>
              </w:rPr>
              <w:t>區域別</w:t>
            </w:r>
          </w:p>
        </w:tc>
      </w:tr>
      <w:tr w:rsidR="00554063" w:rsidRPr="00AE0D77" w:rsidTr="00C81B38">
        <w:trPr>
          <w:jc w:val="center"/>
        </w:trPr>
        <w:tc>
          <w:tcPr>
            <w:tcW w:w="1485" w:type="dxa"/>
            <w:gridSpan w:val="2"/>
            <w:vMerge/>
            <w:tcBorders>
              <w:bottom w:val="single" w:sz="4" w:space="0" w:color="auto"/>
            </w:tcBorders>
          </w:tcPr>
          <w:p w:rsidR="00554063" w:rsidRPr="00AE0D77" w:rsidRDefault="00554063" w:rsidP="00C81B38">
            <w:pPr>
              <w:adjustRightInd w:val="0"/>
              <w:snapToGrid w:val="0"/>
              <w:spacing w:line="300" w:lineRule="auto"/>
              <w:rPr>
                <w:rFonts w:eastAsia="標楷體"/>
              </w:rPr>
            </w:pPr>
          </w:p>
        </w:tc>
        <w:tc>
          <w:tcPr>
            <w:tcW w:w="293" w:type="dxa"/>
            <w:tcBorders>
              <w:top w:val="nil"/>
              <w:bottom w:val="nil"/>
            </w:tcBorders>
          </w:tcPr>
          <w:p w:rsidR="00554063" w:rsidRPr="00AE0D77" w:rsidRDefault="00554063" w:rsidP="00C81B38">
            <w:pPr>
              <w:adjustRightInd w:val="0"/>
              <w:snapToGrid w:val="0"/>
              <w:spacing w:line="300" w:lineRule="auto"/>
              <w:rPr>
                <w:rFonts w:eastAsia="標楷體"/>
              </w:rPr>
            </w:pPr>
          </w:p>
        </w:tc>
        <w:tc>
          <w:tcPr>
            <w:tcW w:w="1404" w:type="dxa"/>
            <w:tcBorders>
              <w:top w:val="single" w:sz="4" w:space="0" w:color="auto"/>
              <w:bottom w:val="single" w:sz="4" w:space="0" w:color="auto"/>
            </w:tcBorders>
            <w:vAlign w:val="center"/>
          </w:tcPr>
          <w:p w:rsidR="00554063" w:rsidRPr="00AE0D77" w:rsidRDefault="00554063" w:rsidP="00C81B38">
            <w:pPr>
              <w:adjustRightInd w:val="0"/>
              <w:snapToGrid w:val="0"/>
              <w:spacing w:beforeLines="50" w:before="180"/>
              <w:jc w:val="center"/>
              <w:rPr>
                <w:rFonts w:eastAsia="標楷體"/>
              </w:rPr>
            </w:pPr>
            <w:r w:rsidRPr="00AE0D77">
              <w:rPr>
                <w:rFonts w:eastAsia="標楷體"/>
              </w:rPr>
              <w:t>台北</w:t>
            </w:r>
          </w:p>
        </w:tc>
        <w:tc>
          <w:tcPr>
            <w:tcW w:w="1325" w:type="dxa"/>
            <w:tcBorders>
              <w:top w:val="single" w:sz="4" w:space="0" w:color="auto"/>
              <w:bottom w:val="nil"/>
            </w:tcBorders>
            <w:vAlign w:val="center"/>
          </w:tcPr>
          <w:p w:rsidR="00554063" w:rsidRPr="00AE0D77" w:rsidRDefault="00554063" w:rsidP="00C81B38">
            <w:pPr>
              <w:adjustRightInd w:val="0"/>
              <w:snapToGrid w:val="0"/>
              <w:spacing w:beforeLines="50" w:before="180"/>
              <w:jc w:val="center"/>
              <w:rPr>
                <w:rFonts w:eastAsia="標楷體"/>
              </w:rPr>
            </w:pPr>
            <w:r w:rsidRPr="00AE0D77">
              <w:rPr>
                <w:rFonts w:eastAsia="標楷體"/>
              </w:rPr>
              <w:t>東京都</w:t>
            </w:r>
          </w:p>
        </w:tc>
        <w:tc>
          <w:tcPr>
            <w:tcW w:w="247" w:type="dxa"/>
            <w:tcBorders>
              <w:top w:val="single" w:sz="4" w:space="0" w:color="auto"/>
              <w:bottom w:val="nil"/>
            </w:tcBorders>
            <w:vAlign w:val="center"/>
          </w:tcPr>
          <w:p w:rsidR="00554063" w:rsidRPr="00AE0D77" w:rsidRDefault="00554063" w:rsidP="00C81B38">
            <w:pPr>
              <w:adjustRightInd w:val="0"/>
              <w:snapToGrid w:val="0"/>
              <w:spacing w:beforeLines="50" w:before="180"/>
              <w:jc w:val="center"/>
              <w:rPr>
                <w:rFonts w:eastAsia="標楷體"/>
              </w:rPr>
            </w:pPr>
          </w:p>
        </w:tc>
        <w:tc>
          <w:tcPr>
            <w:tcW w:w="1378" w:type="dxa"/>
            <w:tcBorders>
              <w:top w:val="single" w:sz="4" w:space="0" w:color="auto"/>
              <w:bottom w:val="single" w:sz="4" w:space="0" w:color="auto"/>
            </w:tcBorders>
            <w:vAlign w:val="center"/>
          </w:tcPr>
          <w:p w:rsidR="00554063" w:rsidRPr="00AE0D77" w:rsidRDefault="00554063" w:rsidP="00C81B38">
            <w:pPr>
              <w:adjustRightInd w:val="0"/>
              <w:snapToGrid w:val="0"/>
              <w:spacing w:beforeLines="50" w:before="180"/>
              <w:jc w:val="center"/>
              <w:rPr>
                <w:rFonts w:eastAsia="標楷體"/>
              </w:rPr>
            </w:pPr>
            <w:r w:rsidRPr="00AE0D77">
              <w:rPr>
                <w:rFonts w:eastAsia="標楷體"/>
              </w:rPr>
              <w:t>高雄</w:t>
            </w:r>
          </w:p>
        </w:tc>
        <w:tc>
          <w:tcPr>
            <w:tcW w:w="1309" w:type="dxa"/>
            <w:tcBorders>
              <w:top w:val="single" w:sz="4" w:space="0" w:color="auto"/>
              <w:bottom w:val="single" w:sz="4" w:space="0" w:color="auto"/>
            </w:tcBorders>
            <w:vAlign w:val="center"/>
          </w:tcPr>
          <w:p w:rsidR="00554063" w:rsidRPr="00AE0D77" w:rsidRDefault="00554063" w:rsidP="00C81B38">
            <w:pPr>
              <w:adjustRightInd w:val="0"/>
              <w:snapToGrid w:val="0"/>
              <w:spacing w:beforeLines="50" w:before="180"/>
              <w:jc w:val="center"/>
              <w:rPr>
                <w:rFonts w:eastAsia="標楷體"/>
              </w:rPr>
            </w:pPr>
            <w:r w:rsidRPr="00AE0D77">
              <w:rPr>
                <w:rFonts w:eastAsia="標楷體"/>
              </w:rPr>
              <w:t>大阪</w:t>
            </w:r>
          </w:p>
        </w:tc>
      </w:tr>
      <w:tr w:rsidR="00554063" w:rsidRPr="00AE0D77" w:rsidTr="00C81B38">
        <w:trPr>
          <w:jc w:val="center"/>
        </w:trPr>
        <w:tc>
          <w:tcPr>
            <w:tcW w:w="776" w:type="dxa"/>
            <w:tcBorders>
              <w:top w:val="single" w:sz="4" w:space="0" w:color="auto"/>
            </w:tcBorders>
          </w:tcPr>
          <w:p w:rsidR="00554063" w:rsidRPr="00AE0D77" w:rsidRDefault="00554063" w:rsidP="00C81B38">
            <w:pPr>
              <w:adjustRightInd w:val="0"/>
              <w:snapToGrid w:val="0"/>
              <w:spacing w:line="300" w:lineRule="auto"/>
              <w:rPr>
                <w:rFonts w:eastAsia="標楷體"/>
                <w:sz w:val="28"/>
              </w:rPr>
            </w:pPr>
            <w:r w:rsidRPr="00AE0D77">
              <w:rPr>
                <w:rFonts w:eastAsia="標楷體"/>
                <w:sz w:val="28"/>
              </w:rPr>
              <w:t>2015</w:t>
            </w:r>
          </w:p>
        </w:tc>
        <w:tc>
          <w:tcPr>
            <w:tcW w:w="709" w:type="dxa"/>
            <w:tcBorders>
              <w:top w:val="single" w:sz="4" w:space="0" w:color="auto"/>
            </w:tcBorders>
          </w:tcPr>
          <w:p w:rsidR="00554063" w:rsidRPr="00AE0D77" w:rsidRDefault="00554063" w:rsidP="00C81B38">
            <w:pPr>
              <w:adjustRightInd w:val="0"/>
              <w:snapToGrid w:val="0"/>
              <w:spacing w:line="300" w:lineRule="auto"/>
              <w:rPr>
                <w:rFonts w:eastAsia="標楷體"/>
                <w:sz w:val="28"/>
              </w:rPr>
            </w:pPr>
            <w:r w:rsidRPr="00AE0D77">
              <w:rPr>
                <w:rFonts w:eastAsia="標楷體"/>
                <w:sz w:val="28"/>
              </w:rPr>
              <w:t>Q4</w:t>
            </w:r>
          </w:p>
        </w:tc>
        <w:tc>
          <w:tcPr>
            <w:tcW w:w="293" w:type="dxa"/>
            <w:tcBorders>
              <w:top w:val="nil"/>
            </w:tcBorders>
          </w:tcPr>
          <w:p w:rsidR="00554063" w:rsidRPr="00AE0D77" w:rsidRDefault="00554063" w:rsidP="00C81B38">
            <w:pPr>
              <w:adjustRightInd w:val="0"/>
              <w:snapToGrid w:val="0"/>
              <w:spacing w:line="300" w:lineRule="auto"/>
              <w:rPr>
                <w:rFonts w:eastAsia="標楷體"/>
                <w:sz w:val="28"/>
              </w:rPr>
            </w:pPr>
          </w:p>
        </w:tc>
        <w:tc>
          <w:tcPr>
            <w:tcW w:w="1404" w:type="dxa"/>
            <w:tcBorders>
              <w:top w:val="single" w:sz="4" w:space="0" w:color="auto"/>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w:t>
            </w:r>
          </w:p>
        </w:tc>
        <w:tc>
          <w:tcPr>
            <w:tcW w:w="1325" w:type="dxa"/>
            <w:vMerge w:val="restart"/>
            <w:tcBorders>
              <w:top w:val="single" w:sz="4" w:space="0" w:color="auto"/>
            </w:tcBorders>
            <w:vAlign w:val="center"/>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12.42</w:t>
            </w:r>
          </w:p>
        </w:tc>
        <w:tc>
          <w:tcPr>
            <w:tcW w:w="247" w:type="dxa"/>
            <w:tcBorders>
              <w:top w:val="nil"/>
              <w:bottom w:val="nil"/>
            </w:tcBorders>
          </w:tcPr>
          <w:p w:rsidR="00554063" w:rsidRPr="00AE0D77" w:rsidRDefault="00554063" w:rsidP="00C81B38">
            <w:pPr>
              <w:adjustRightInd w:val="0"/>
              <w:snapToGrid w:val="0"/>
              <w:spacing w:line="300" w:lineRule="auto"/>
              <w:rPr>
                <w:rFonts w:eastAsia="標楷體"/>
                <w:sz w:val="28"/>
              </w:rPr>
            </w:pPr>
          </w:p>
        </w:tc>
        <w:tc>
          <w:tcPr>
            <w:tcW w:w="1378" w:type="dxa"/>
            <w:tcBorders>
              <w:top w:val="single" w:sz="4" w:space="0" w:color="auto"/>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w:t>
            </w:r>
          </w:p>
        </w:tc>
        <w:tc>
          <w:tcPr>
            <w:tcW w:w="1309" w:type="dxa"/>
            <w:vMerge w:val="restart"/>
            <w:tcBorders>
              <w:top w:val="single" w:sz="4" w:space="0" w:color="auto"/>
            </w:tcBorders>
            <w:vAlign w:val="center"/>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6.70</w:t>
            </w:r>
          </w:p>
        </w:tc>
      </w:tr>
      <w:tr w:rsidR="00554063" w:rsidRPr="00AE0D77" w:rsidTr="00C81B38">
        <w:trPr>
          <w:jc w:val="center"/>
        </w:trPr>
        <w:tc>
          <w:tcPr>
            <w:tcW w:w="776" w:type="dxa"/>
          </w:tcPr>
          <w:p w:rsidR="00554063" w:rsidRPr="00AE0D77" w:rsidRDefault="00554063" w:rsidP="00C81B38">
            <w:pPr>
              <w:adjustRightInd w:val="0"/>
              <w:snapToGrid w:val="0"/>
              <w:spacing w:line="300" w:lineRule="auto"/>
              <w:rPr>
                <w:rFonts w:eastAsia="標楷體"/>
                <w:sz w:val="28"/>
              </w:rPr>
            </w:pPr>
          </w:p>
        </w:tc>
        <w:tc>
          <w:tcPr>
            <w:tcW w:w="709" w:type="dxa"/>
          </w:tcPr>
          <w:p w:rsidR="00554063" w:rsidRPr="00AE0D77" w:rsidRDefault="00554063" w:rsidP="00C81B38">
            <w:pPr>
              <w:adjustRightInd w:val="0"/>
              <w:snapToGrid w:val="0"/>
              <w:spacing w:line="300" w:lineRule="auto"/>
              <w:rPr>
                <w:rFonts w:eastAsia="標楷體"/>
                <w:sz w:val="28"/>
              </w:rPr>
            </w:pPr>
            <w:r w:rsidRPr="00AE0D77">
              <w:rPr>
                <w:rFonts w:eastAsia="標楷體"/>
                <w:sz w:val="28"/>
              </w:rPr>
              <w:t>Q3</w:t>
            </w:r>
          </w:p>
        </w:tc>
        <w:tc>
          <w:tcPr>
            <w:tcW w:w="293" w:type="dxa"/>
          </w:tcPr>
          <w:p w:rsidR="00554063" w:rsidRPr="00AE0D77" w:rsidRDefault="00554063" w:rsidP="00C81B38">
            <w:pPr>
              <w:adjustRightInd w:val="0"/>
              <w:snapToGrid w:val="0"/>
              <w:spacing w:line="300" w:lineRule="auto"/>
              <w:rPr>
                <w:rFonts w:eastAsia="標楷體"/>
                <w:sz w:val="28"/>
              </w:rPr>
            </w:pPr>
          </w:p>
        </w:tc>
        <w:tc>
          <w:tcPr>
            <w:tcW w:w="1404" w:type="dxa"/>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15.47</w:t>
            </w:r>
          </w:p>
        </w:tc>
        <w:tc>
          <w:tcPr>
            <w:tcW w:w="1325" w:type="dxa"/>
            <w:vMerge/>
          </w:tcPr>
          <w:p w:rsidR="00554063" w:rsidRPr="00AE0D77" w:rsidRDefault="00554063" w:rsidP="00C81B38">
            <w:pPr>
              <w:adjustRightInd w:val="0"/>
              <w:snapToGrid w:val="0"/>
              <w:spacing w:line="300" w:lineRule="auto"/>
              <w:jc w:val="center"/>
              <w:rPr>
                <w:rFonts w:eastAsia="標楷體"/>
                <w:sz w:val="28"/>
              </w:rPr>
            </w:pPr>
          </w:p>
        </w:tc>
        <w:tc>
          <w:tcPr>
            <w:tcW w:w="247" w:type="dxa"/>
            <w:tcBorders>
              <w:top w:val="nil"/>
            </w:tcBorders>
          </w:tcPr>
          <w:p w:rsidR="00554063" w:rsidRPr="00AE0D77" w:rsidRDefault="00554063" w:rsidP="00C81B38">
            <w:pPr>
              <w:adjustRightInd w:val="0"/>
              <w:snapToGrid w:val="0"/>
              <w:spacing w:line="300" w:lineRule="auto"/>
              <w:rPr>
                <w:rFonts w:eastAsia="標楷體"/>
                <w:sz w:val="28"/>
              </w:rPr>
            </w:pPr>
          </w:p>
        </w:tc>
        <w:tc>
          <w:tcPr>
            <w:tcW w:w="1378" w:type="dxa"/>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8.61</w:t>
            </w:r>
          </w:p>
        </w:tc>
        <w:tc>
          <w:tcPr>
            <w:tcW w:w="1309" w:type="dxa"/>
            <w:vMerge/>
            <w:vAlign w:val="center"/>
          </w:tcPr>
          <w:p w:rsidR="00554063" w:rsidRPr="00AE0D77" w:rsidRDefault="00554063" w:rsidP="00C81B38">
            <w:pPr>
              <w:adjustRightInd w:val="0"/>
              <w:snapToGrid w:val="0"/>
              <w:spacing w:line="300" w:lineRule="auto"/>
              <w:jc w:val="center"/>
              <w:rPr>
                <w:rFonts w:eastAsia="標楷體"/>
                <w:sz w:val="28"/>
              </w:rPr>
            </w:pPr>
          </w:p>
        </w:tc>
      </w:tr>
      <w:tr w:rsidR="00554063" w:rsidRPr="00AE0D77" w:rsidTr="00C81B38">
        <w:trPr>
          <w:jc w:val="center"/>
        </w:trPr>
        <w:tc>
          <w:tcPr>
            <w:tcW w:w="776" w:type="dxa"/>
          </w:tcPr>
          <w:p w:rsidR="00554063" w:rsidRPr="00AE0D77" w:rsidRDefault="00554063" w:rsidP="00C81B38">
            <w:pPr>
              <w:adjustRightInd w:val="0"/>
              <w:snapToGrid w:val="0"/>
              <w:spacing w:line="300" w:lineRule="auto"/>
              <w:rPr>
                <w:rFonts w:eastAsia="標楷體"/>
                <w:sz w:val="28"/>
              </w:rPr>
            </w:pPr>
          </w:p>
        </w:tc>
        <w:tc>
          <w:tcPr>
            <w:tcW w:w="709" w:type="dxa"/>
          </w:tcPr>
          <w:p w:rsidR="00554063" w:rsidRPr="00AE0D77" w:rsidRDefault="00554063" w:rsidP="00C81B38">
            <w:pPr>
              <w:adjustRightInd w:val="0"/>
              <w:snapToGrid w:val="0"/>
              <w:spacing w:line="300" w:lineRule="auto"/>
              <w:rPr>
                <w:rFonts w:eastAsia="標楷體"/>
                <w:sz w:val="28"/>
              </w:rPr>
            </w:pPr>
            <w:r w:rsidRPr="00AE0D77">
              <w:rPr>
                <w:rFonts w:eastAsia="標楷體"/>
                <w:sz w:val="28"/>
              </w:rPr>
              <w:t>Q2</w:t>
            </w:r>
          </w:p>
        </w:tc>
        <w:tc>
          <w:tcPr>
            <w:tcW w:w="293" w:type="dxa"/>
          </w:tcPr>
          <w:p w:rsidR="00554063" w:rsidRPr="00AE0D77" w:rsidRDefault="00554063" w:rsidP="00C81B38">
            <w:pPr>
              <w:adjustRightInd w:val="0"/>
              <w:snapToGrid w:val="0"/>
              <w:spacing w:line="300" w:lineRule="auto"/>
              <w:rPr>
                <w:rFonts w:eastAsia="標楷體"/>
                <w:sz w:val="28"/>
              </w:rPr>
            </w:pPr>
          </w:p>
        </w:tc>
        <w:tc>
          <w:tcPr>
            <w:tcW w:w="1404" w:type="dxa"/>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15.07</w:t>
            </w:r>
          </w:p>
        </w:tc>
        <w:tc>
          <w:tcPr>
            <w:tcW w:w="1325" w:type="dxa"/>
            <w:vMerge/>
          </w:tcPr>
          <w:p w:rsidR="00554063" w:rsidRPr="00AE0D77" w:rsidRDefault="00554063" w:rsidP="00C81B38">
            <w:pPr>
              <w:adjustRightInd w:val="0"/>
              <w:snapToGrid w:val="0"/>
              <w:spacing w:line="300" w:lineRule="auto"/>
              <w:jc w:val="center"/>
              <w:rPr>
                <w:rFonts w:eastAsia="標楷體"/>
                <w:sz w:val="28"/>
              </w:rPr>
            </w:pPr>
          </w:p>
        </w:tc>
        <w:tc>
          <w:tcPr>
            <w:tcW w:w="247" w:type="dxa"/>
          </w:tcPr>
          <w:p w:rsidR="00554063" w:rsidRPr="00AE0D77" w:rsidRDefault="00554063" w:rsidP="00C81B38">
            <w:pPr>
              <w:adjustRightInd w:val="0"/>
              <w:snapToGrid w:val="0"/>
              <w:spacing w:line="300" w:lineRule="auto"/>
              <w:rPr>
                <w:rFonts w:eastAsia="標楷體"/>
                <w:sz w:val="28"/>
              </w:rPr>
            </w:pPr>
          </w:p>
        </w:tc>
        <w:tc>
          <w:tcPr>
            <w:tcW w:w="1378" w:type="dxa"/>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8.11</w:t>
            </w:r>
          </w:p>
        </w:tc>
        <w:tc>
          <w:tcPr>
            <w:tcW w:w="1309" w:type="dxa"/>
            <w:vMerge/>
            <w:vAlign w:val="center"/>
          </w:tcPr>
          <w:p w:rsidR="00554063" w:rsidRPr="00AE0D77" w:rsidRDefault="00554063" w:rsidP="00C81B38">
            <w:pPr>
              <w:adjustRightInd w:val="0"/>
              <w:snapToGrid w:val="0"/>
              <w:spacing w:line="300" w:lineRule="auto"/>
              <w:jc w:val="center"/>
              <w:rPr>
                <w:rFonts w:eastAsia="標楷體"/>
                <w:sz w:val="28"/>
              </w:rPr>
            </w:pPr>
          </w:p>
        </w:tc>
      </w:tr>
      <w:tr w:rsidR="00554063" w:rsidRPr="00AE0D77" w:rsidTr="00C81B38">
        <w:trPr>
          <w:jc w:val="center"/>
        </w:trPr>
        <w:tc>
          <w:tcPr>
            <w:tcW w:w="776" w:type="dxa"/>
            <w:tcBorders>
              <w:bottom w:val="nil"/>
            </w:tcBorders>
          </w:tcPr>
          <w:p w:rsidR="00554063" w:rsidRPr="00AE0D77" w:rsidRDefault="00554063" w:rsidP="00C81B38">
            <w:pPr>
              <w:adjustRightInd w:val="0"/>
              <w:snapToGrid w:val="0"/>
              <w:spacing w:line="300" w:lineRule="auto"/>
              <w:rPr>
                <w:rFonts w:eastAsia="標楷體"/>
                <w:sz w:val="28"/>
              </w:rPr>
            </w:pPr>
          </w:p>
        </w:tc>
        <w:tc>
          <w:tcPr>
            <w:tcW w:w="709" w:type="dxa"/>
            <w:tcBorders>
              <w:bottom w:val="nil"/>
            </w:tcBorders>
          </w:tcPr>
          <w:p w:rsidR="00554063" w:rsidRPr="00AE0D77" w:rsidRDefault="00554063" w:rsidP="00C81B38">
            <w:pPr>
              <w:adjustRightInd w:val="0"/>
              <w:snapToGrid w:val="0"/>
              <w:spacing w:line="300" w:lineRule="auto"/>
              <w:rPr>
                <w:rFonts w:eastAsia="標楷體"/>
                <w:sz w:val="28"/>
              </w:rPr>
            </w:pPr>
            <w:r w:rsidRPr="00AE0D77">
              <w:rPr>
                <w:rFonts w:eastAsia="標楷體"/>
                <w:sz w:val="28"/>
              </w:rPr>
              <w:t>Q1</w:t>
            </w:r>
          </w:p>
        </w:tc>
        <w:tc>
          <w:tcPr>
            <w:tcW w:w="293" w:type="dxa"/>
            <w:tcBorders>
              <w:bottom w:val="nil"/>
            </w:tcBorders>
          </w:tcPr>
          <w:p w:rsidR="00554063" w:rsidRPr="00AE0D77" w:rsidRDefault="00554063" w:rsidP="00C81B38">
            <w:pPr>
              <w:adjustRightInd w:val="0"/>
              <w:snapToGrid w:val="0"/>
              <w:spacing w:line="300" w:lineRule="auto"/>
              <w:rPr>
                <w:rFonts w:eastAsia="標楷體"/>
                <w:sz w:val="28"/>
              </w:rPr>
            </w:pPr>
          </w:p>
        </w:tc>
        <w:tc>
          <w:tcPr>
            <w:tcW w:w="1404" w:type="dxa"/>
            <w:tcBorders>
              <w:bottom w:val="nil"/>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14.09</w:t>
            </w:r>
          </w:p>
        </w:tc>
        <w:tc>
          <w:tcPr>
            <w:tcW w:w="1325" w:type="dxa"/>
            <w:vMerge/>
            <w:tcBorders>
              <w:bottom w:val="nil"/>
            </w:tcBorders>
          </w:tcPr>
          <w:p w:rsidR="00554063" w:rsidRPr="00AE0D77" w:rsidRDefault="00554063" w:rsidP="00C81B38">
            <w:pPr>
              <w:adjustRightInd w:val="0"/>
              <w:snapToGrid w:val="0"/>
              <w:spacing w:line="300" w:lineRule="auto"/>
              <w:jc w:val="center"/>
              <w:rPr>
                <w:rFonts w:eastAsia="標楷體"/>
                <w:sz w:val="28"/>
              </w:rPr>
            </w:pPr>
          </w:p>
        </w:tc>
        <w:tc>
          <w:tcPr>
            <w:tcW w:w="247" w:type="dxa"/>
            <w:tcBorders>
              <w:bottom w:val="nil"/>
            </w:tcBorders>
          </w:tcPr>
          <w:p w:rsidR="00554063" w:rsidRPr="00AE0D77" w:rsidRDefault="00554063" w:rsidP="00C81B38">
            <w:pPr>
              <w:adjustRightInd w:val="0"/>
              <w:snapToGrid w:val="0"/>
              <w:spacing w:line="300" w:lineRule="auto"/>
              <w:rPr>
                <w:rFonts w:eastAsia="標楷體"/>
                <w:sz w:val="28"/>
              </w:rPr>
            </w:pPr>
          </w:p>
        </w:tc>
        <w:tc>
          <w:tcPr>
            <w:tcW w:w="1378" w:type="dxa"/>
            <w:tcBorders>
              <w:bottom w:val="nil"/>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7.67</w:t>
            </w:r>
          </w:p>
        </w:tc>
        <w:tc>
          <w:tcPr>
            <w:tcW w:w="1309" w:type="dxa"/>
            <w:vMerge/>
            <w:tcBorders>
              <w:bottom w:val="nil"/>
            </w:tcBorders>
            <w:vAlign w:val="center"/>
          </w:tcPr>
          <w:p w:rsidR="00554063" w:rsidRPr="00AE0D77" w:rsidRDefault="00554063" w:rsidP="00C81B38">
            <w:pPr>
              <w:adjustRightInd w:val="0"/>
              <w:snapToGrid w:val="0"/>
              <w:spacing w:line="300" w:lineRule="auto"/>
              <w:jc w:val="center"/>
              <w:rPr>
                <w:rFonts w:eastAsia="標楷體"/>
                <w:sz w:val="28"/>
              </w:rPr>
            </w:pPr>
          </w:p>
        </w:tc>
      </w:tr>
      <w:tr w:rsidR="00554063" w:rsidRPr="00AE0D77" w:rsidTr="00C81B38">
        <w:trPr>
          <w:jc w:val="center"/>
        </w:trPr>
        <w:tc>
          <w:tcPr>
            <w:tcW w:w="776" w:type="dxa"/>
            <w:tcBorders>
              <w:top w:val="nil"/>
            </w:tcBorders>
          </w:tcPr>
          <w:p w:rsidR="00554063" w:rsidRPr="00AE0D77" w:rsidRDefault="00554063" w:rsidP="00C81B38">
            <w:pPr>
              <w:adjustRightInd w:val="0"/>
              <w:snapToGrid w:val="0"/>
              <w:spacing w:line="300" w:lineRule="auto"/>
              <w:rPr>
                <w:rFonts w:eastAsia="標楷體"/>
                <w:sz w:val="28"/>
              </w:rPr>
            </w:pPr>
            <w:r w:rsidRPr="00AE0D77">
              <w:rPr>
                <w:rFonts w:eastAsia="標楷體"/>
                <w:sz w:val="28"/>
              </w:rPr>
              <w:t>2014</w:t>
            </w:r>
          </w:p>
        </w:tc>
        <w:tc>
          <w:tcPr>
            <w:tcW w:w="709" w:type="dxa"/>
            <w:tcBorders>
              <w:top w:val="nil"/>
            </w:tcBorders>
          </w:tcPr>
          <w:p w:rsidR="00554063" w:rsidRPr="00AE0D77" w:rsidRDefault="00554063" w:rsidP="00C81B38">
            <w:pPr>
              <w:adjustRightInd w:val="0"/>
              <w:snapToGrid w:val="0"/>
              <w:spacing w:line="300" w:lineRule="auto"/>
              <w:rPr>
                <w:rFonts w:eastAsia="標楷體"/>
                <w:sz w:val="28"/>
              </w:rPr>
            </w:pPr>
            <w:r w:rsidRPr="00AE0D77">
              <w:rPr>
                <w:rFonts w:eastAsia="標楷體"/>
                <w:sz w:val="28"/>
              </w:rPr>
              <w:t>Q4</w:t>
            </w:r>
          </w:p>
        </w:tc>
        <w:tc>
          <w:tcPr>
            <w:tcW w:w="293" w:type="dxa"/>
            <w:tcBorders>
              <w:top w:val="nil"/>
            </w:tcBorders>
          </w:tcPr>
          <w:p w:rsidR="00554063" w:rsidRPr="00AE0D77" w:rsidRDefault="00554063" w:rsidP="00C81B38">
            <w:pPr>
              <w:adjustRightInd w:val="0"/>
              <w:snapToGrid w:val="0"/>
              <w:spacing w:line="300" w:lineRule="auto"/>
              <w:rPr>
                <w:rFonts w:eastAsia="標楷體"/>
                <w:sz w:val="28"/>
              </w:rPr>
            </w:pPr>
          </w:p>
        </w:tc>
        <w:tc>
          <w:tcPr>
            <w:tcW w:w="1404" w:type="dxa"/>
            <w:tcBorders>
              <w:top w:val="nil"/>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15.75</w:t>
            </w:r>
          </w:p>
        </w:tc>
        <w:tc>
          <w:tcPr>
            <w:tcW w:w="1325" w:type="dxa"/>
            <w:vMerge w:val="restart"/>
            <w:tcBorders>
              <w:top w:val="nil"/>
            </w:tcBorders>
            <w:vAlign w:val="center"/>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11.29</w:t>
            </w:r>
          </w:p>
        </w:tc>
        <w:tc>
          <w:tcPr>
            <w:tcW w:w="247" w:type="dxa"/>
            <w:tcBorders>
              <w:top w:val="nil"/>
            </w:tcBorders>
          </w:tcPr>
          <w:p w:rsidR="00554063" w:rsidRPr="00AE0D77" w:rsidRDefault="00554063" w:rsidP="00C81B38">
            <w:pPr>
              <w:adjustRightInd w:val="0"/>
              <w:snapToGrid w:val="0"/>
              <w:spacing w:line="300" w:lineRule="auto"/>
              <w:rPr>
                <w:rFonts w:eastAsia="標楷體"/>
                <w:sz w:val="28"/>
              </w:rPr>
            </w:pPr>
          </w:p>
        </w:tc>
        <w:tc>
          <w:tcPr>
            <w:tcW w:w="1378" w:type="dxa"/>
            <w:tcBorders>
              <w:top w:val="nil"/>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7.87</w:t>
            </w:r>
          </w:p>
        </w:tc>
        <w:tc>
          <w:tcPr>
            <w:tcW w:w="1309" w:type="dxa"/>
            <w:vMerge w:val="restart"/>
            <w:tcBorders>
              <w:top w:val="nil"/>
            </w:tcBorders>
            <w:vAlign w:val="center"/>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6.75</w:t>
            </w:r>
          </w:p>
        </w:tc>
      </w:tr>
      <w:tr w:rsidR="00554063" w:rsidRPr="00AE0D77" w:rsidTr="00C81B38">
        <w:trPr>
          <w:jc w:val="center"/>
        </w:trPr>
        <w:tc>
          <w:tcPr>
            <w:tcW w:w="776" w:type="dxa"/>
            <w:tcBorders>
              <w:top w:val="nil"/>
            </w:tcBorders>
          </w:tcPr>
          <w:p w:rsidR="00554063" w:rsidRPr="00AE0D77" w:rsidRDefault="00554063" w:rsidP="00C81B38">
            <w:pPr>
              <w:adjustRightInd w:val="0"/>
              <w:snapToGrid w:val="0"/>
              <w:spacing w:line="300" w:lineRule="auto"/>
              <w:rPr>
                <w:rFonts w:eastAsia="標楷體"/>
                <w:sz w:val="28"/>
              </w:rPr>
            </w:pPr>
          </w:p>
        </w:tc>
        <w:tc>
          <w:tcPr>
            <w:tcW w:w="709" w:type="dxa"/>
            <w:tcBorders>
              <w:top w:val="nil"/>
            </w:tcBorders>
          </w:tcPr>
          <w:p w:rsidR="00554063" w:rsidRPr="00AE0D77" w:rsidRDefault="00554063" w:rsidP="00C81B38">
            <w:pPr>
              <w:adjustRightInd w:val="0"/>
              <w:snapToGrid w:val="0"/>
              <w:spacing w:line="300" w:lineRule="auto"/>
              <w:rPr>
                <w:rFonts w:eastAsia="標楷體"/>
                <w:sz w:val="28"/>
              </w:rPr>
            </w:pPr>
            <w:r w:rsidRPr="00AE0D77">
              <w:rPr>
                <w:rFonts w:eastAsia="標楷體"/>
                <w:sz w:val="28"/>
              </w:rPr>
              <w:t>Q3</w:t>
            </w:r>
          </w:p>
        </w:tc>
        <w:tc>
          <w:tcPr>
            <w:tcW w:w="293" w:type="dxa"/>
            <w:tcBorders>
              <w:top w:val="nil"/>
            </w:tcBorders>
          </w:tcPr>
          <w:p w:rsidR="00554063" w:rsidRPr="00AE0D77" w:rsidRDefault="00554063" w:rsidP="00C81B38">
            <w:pPr>
              <w:adjustRightInd w:val="0"/>
              <w:snapToGrid w:val="0"/>
              <w:spacing w:line="300" w:lineRule="auto"/>
              <w:rPr>
                <w:rFonts w:eastAsia="標楷體"/>
                <w:sz w:val="28"/>
              </w:rPr>
            </w:pPr>
          </w:p>
        </w:tc>
        <w:tc>
          <w:tcPr>
            <w:tcW w:w="1404" w:type="dxa"/>
            <w:tcBorders>
              <w:top w:val="nil"/>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15.63</w:t>
            </w:r>
          </w:p>
        </w:tc>
        <w:tc>
          <w:tcPr>
            <w:tcW w:w="1325" w:type="dxa"/>
            <w:vMerge/>
          </w:tcPr>
          <w:p w:rsidR="00554063" w:rsidRPr="00AE0D77" w:rsidRDefault="00554063" w:rsidP="00C81B38">
            <w:pPr>
              <w:adjustRightInd w:val="0"/>
              <w:snapToGrid w:val="0"/>
              <w:spacing w:line="300" w:lineRule="auto"/>
              <w:rPr>
                <w:rFonts w:eastAsia="標楷體"/>
                <w:sz w:val="28"/>
              </w:rPr>
            </w:pPr>
          </w:p>
        </w:tc>
        <w:tc>
          <w:tcPr>
            <w:tcW w:w="247" w:type="dxa"/>
            <w:tcBorders>
              <w:top w:val="nil"/>
            </w:tcBorders>
          </w:tcPr>
          <w:p w:rsidR="00554063" w:rsidRPr="00AE0D77" w:rsidRDefault="00554063" w:rsidP="00C81B38">
            <w:pPr>
              <w:adjustRightInd w:val="0"/>
              <w:snapToGrid w:val="0"/>
              <w:spacing w:line="300" w:lineRule="auto"/>
              <w:rPr>
                <w:rFonts w:eastAsia="標楷體"/>
                <w:sz w:val="28"/>
              </w:rPr>
            </w:pPr>
          </w:p>
        </w:tc>
        <w:tc>
          <w:tcPr>
            <w:tcW w:w="1378" w:type="dxa"/>
            <w:tcBorders>
              <w:top w:val="nil"/>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7.90</w:t>
            </w:r>
          </w:p>
        </w:tc>
        <w:tc>
          <w:tcPr>
            <w:tcW w:w="1309" w:type="dxa"/>
            <w:vMerge/>
          </w:tcPr>
          <w:p w:rsidR="00554063" w:rsidRPr="00AE0D77" w:rsidRDefault="00554063" w:rsidP="00C81B38">
            <w:pPr>
              <w:adjustRightInd w:val="0"/>
              <w:snapToGrid w:val="0"/>
              <w:spacing w:line="300" w:lineRule="auto"/>
              <w:rPr>
                <w:rFonts w:eastAsia="標楷體"/>
                <w:sz w:val="28"/>
              </w:rPr>
            </w:pPr>
          </w:p>
        </w:tc>
      </w:tr>
      <w:tr w:rsidR="00554063" w:rsidRPr="00AE0D77" w:rsidTr="00C81B38">
        <w:trPr>
          <w:jc w:val="center"/>
        </w:trPr>
        <w:tc>
          <w:tcPr>
            <w:tcW w:w="776" w:type="dxa"/>
            <w:tcBorders>
              <w:top w:val="nil"/>
            </w:tcBorders>
          </w:tcPr>
          <w:p w:rsidR="00554063" w:rsidRPr="00AE0D77" w:rsidRDefault="00554063" w:rsidP="00C81B38">
            <w:pPr>
              <w:adjustRightInd w:val="0"/>
              <w:snapToGrid w:val="0"/>
              <w:spacing w:line="300" w:lineRule="auto"/>
              <w:rPr>
                <w:rFonts w:eastAsia="標楷體"/>
                <w:sz w:val="28"/>
              </w:rPr>
            </w:pPr>
          </w:p>
        </w:tc>
        <w:tc>
          <w:tcPr>
            <w:tcW w:w="709" w:type="dxa"/>
            <w:tcBorders>
              <w:top w:val="nil"/>
            </w:tcBorders>
          </w:tcPr>
          <w:p w:rsidR="00554063" w:rsidRPr="00AE0D77" w:rsidRDefault="00554063" w:rsidP="00C81B38">
            <w:pPr>
              <w:adjustRightInd w:val="0"/>
              <w:snapToGrid w:val="0"/>
              <w:spacing w:line="300" w:lineRule="auto"/>
              <w:rPr>
                <w:rFonts w:eastAsia="標楷體"/>
                <w:sz w:val="28"/>
              </w:rPr>
            </w:pPr>
            <w:r w:rsidRPr="00AE0D77">
              <w:rPr>
                <w:rFonts w:eastAsia="標楷體"/>
                <w:sz w:val="28"/>
              </w:rPr>
              <w:t>Q2</w:t>
            </w:r>
          </w:p>
        </w:tc>
        <w:tc>
          <w:tcPr>
            <w:tcW w:w="293" w:type="dxa"/>
            <w:tcBorders>
              <w:top w:val="nil"/>
            </w:tcBorders>
          </w:tcPr>
          <w:p w:rsidR="00554063" w:rsidRPr="00AE0D77" w:rsidRDefault="00554063" w:rsidP="00C81B38">
            <w:pPr>
              <w:adjustRightInd w:val="0"/>
              <w:snapToGrid w:val="0"/>
              <w:spacing w:line="300" w:lineRule="auto"/>
              <w:rPr>
                <w:rFonts w:eastAsia="標楷體"/>
                <w:sz w:val="28"/>
              </w:rPr>
            </w:pPr>
          </w:p>
        </w:tc>
        <w:tc>
          <w:tcPr>
            <w:tcW w:w="1404" w:type="dxa"/>
            <w:tcBorders>
              <w:top w:val="nil"/>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16.10</w:t>
            </w:r>
          </w:p>
        </w:tc>
        <w:tc>
          <w:tcPr>
            <w:tcW w:w="1325" w:type="dxa"/>
            <w:vMerge/>
          </w:tcPr>
          <w:p w:rsidR="00554063" w:rsidRPr="00AE0D77" w:rsidRDefault="00554063" w:rsidP="00C81B38">
            <w:pPr>
              <w:adjustRightInd w:val="0"/>
              <w:snapToGrid w:val="0"/>
              <w:spacing w:line="300" w:lineRule="auto"/>
              <w:rPr>
                <w:rFonts w:eastAsia="標楷體"/>
                <w:sz w:val="28"/>
              </w:rPr>
            </w:pPr>
          </w:p>
        </w:tc>
        <w:tc>
          <w:tcPr>
            <w:tcW w:w="247" w:type="dxa"/>
            <w:tcBorders>
              <w:top w:val="nil"/>
            </w:tcBorders>
          </w:tcPr>
          <w:p w:rsidR="00554063" w:rsidRPr="00AE0D77" w:rsidRDefault="00554063" w:rsidP="00C81B38">
            <w:pPr>
              <w:adjustRightInd w:val="0"/>
              <w:snapToGrid w:val="0"/>
              <w:spacing w:line="300" w:lineRule="auto"/>
              <w:rPr>
                <w:rFonts w:eastAsia="標楷體"/>
                <w:sz w:val="28"/>
              </w:rPr>
            </w:pPr>
          </w:p>
        </w:tc>
        <w:tc>
          <w:tcPr>
            <w:tcW w:w="1378" w:type="dxa"/>
            <w:tcBorders>
              <w:top w:val="nil"/>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7.91</w:t>
            </w:r>
          </w:p>
        </w:tc>
        <w:tc>
          <w:tcPr>
            <w:tcW w:w="1309" w:type="dxa"/>
            <w:vMerge/>
          </w:tcPr>
          <w:p w:rsidR="00554063" w:rsidRPr="00AE0D77" w:rsidRDefault="00554063" w:rsidP="00C81B38">
            <w:pPr>
              <w:adjustRightInd w:val="0"/>
              <w:snapToGrid w:val="0"/>
              <w:spacing w:line="300" w:lineRule="auto"/>
              <w:rPr>
                <w:rFonts w:eastAsia="標楷體"/>
                <w:sz w:val="28"/>
              </w:rPr>
            </w:pPr>
          </w:p>
        </w:tc>
      </w:tr>
      <w:tr w:rsidR="00554063" w:rsidRPr="00AE0D77" w:rsidTr="00C81B38">
        <w:trPr>
          <w:jc w:val="center"/>
        </w:trPr>
        <w:tc>
          <w:tcPr>
            <w:tcW w:w="776" w:type="dxa"/>
            <w:tcBorders>
              <w:top w:val="nil"/>
              <w:bottom w:val="single" w:sz="12" w:space="0" w:color="auto"/>
            </w:tcBorders>
          </w:tcPr>
          <w:p w:rsidR="00554063" w:rsidRPr="00AE0D77" w:rsidRDefault="00554063" w:rsidP="00C81B38">
            <w:pPr>
              <w:adjustRightInd w:val="0"/>
              <w:snapToGrid w:val="0"/>
              <w:spacing w:line="300" w:lineRule="auto"/>
              <w:rPr>
                <w:rFonts w:eastAsia="標楷體"/>
                <w:sz w:val="28"/>
              </w:rPr>
            </w:pPr>
          </w:p>
        </w:tc>
        <w:tc>
          <w:tcPr>
            <w:tcW w:w="709" w:type="dxa"/>
            <w:tcBorders>
              <w:top w:val="nil"/>
              <w:bottom w:val="single" w:sz="12" w:space="0" w:color="auto"/>
            </w:tcBorders>
          </w:tcPr>
          <w:p w:rsidR="00554063" w:rsidRPr="00AE0D77" w:rsidRDefault="00554063" w:rsidP="00C81B38">
            <w:pPr>
              <w:adjustRightInd w:val="0"/>
              <w:snapToGrid w:val="0"/>
              <w:spacing w:line="300" w:lineRule="auto"/>
              <w:rPr>
                <w:rFonts w:eastAsia="標楷體"/>
                <w:sz w:val="28"/>
              </w:rPr>
            </w:pPr>
            <w:r w:rsidRPr="00AE0D77">
              <w:rPr>
                <w:rFonts w:eastAsia="標楷體"/>
                <w:sz w:val="28"/>
              </w:rPr>
              <w:t>Q1</w:t>
            </w:r>
          </w:p>
        </w:tc>
        <w:tc>
          <w:tcPr>
            <w:tcW w:w="293" w:type="dxa"/>
            <w:tcBorders>
              <w:top w:val="nil"/>
              <w:bottom w:val="single" w:sz="12" w:space="0" w:color="auto"/>
            </w:tcBorders>
          </w:tcPr>
          <w:p w:rsidR="00554063" w:rsidRPr="00AE0D77" w:rsidRDefault="00554063" w:rsidP="00C81B38">
            <w:pPr>
              <w:adjustRightInd w:val="0"/>
              <w:snapToGrid w:val="0"/>
              <w:spacing w:line="300" w:lineRule="auto"/>
              <w:rPr>
                <w:rFonts w:eastAsia="標楷體"/>
                <w:sz w:val="28"/>
              </w:rPr>
            </w:pPr>
          </w:p>
        </w:tc>
        <w:tc>
          <w:tcPr>
            <w:tcW w:w="1404" w:type="dxa"/>
            <w:tcBorders>
              <w:top w:val="nil"/>
              <w:bottom w:val="single" w:sz="12" w:space="0" w:color="auto"/>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16.16</w:t>
            </w:r>
          </w:p>
        </w:tc>
        <w:tc>
          <w:tcPr>
            <w:tcW w:w="1325" w:type="dxa"/>
            <w:vMerge/>
            <w:tcBorders>
              <w:bottom w:val="single" w:sz="12" w:space="0" w:color="auto"/>
            </w:tcBorders>
          </w:tcPr>
          <w:p w:rsidR="00554063" w:rsidRPr="00AE0D77" w:rsidRDefault="00554063" w:rsidP="00C81B38">
            <w:pPr>
              <w:adjustRightInd w:val="0"/>
              <w:snapToGrid w:val="0"/>
              <w:spacing w:line="300" w:lineRule="auto"/>
              <w:rPr>
                <w:rFonts w:eastAsia="標楷體"/>
                <w:sz w:val="28"/>
              </w:rPr>
            </w:pPr>
          </w:p>
        </w:tc>
        <w:tc>
          <w:tcPr>
            <w:tcW w:w="247" w:type="dxa"/>
            <w:tcBorders>
              <w:top w:val="nil"/>
              <w:bottom w:val="single" w:sz="12" w:space="0" w:color="auto"/>
            </w:tcBorders>
          </w:tcPr>
          <w:p w:rsidR="00554063" w:rsidRPr="00AE0D77" w:rsidRDefault="00554063" w:rsidP="00C81B38">
            <w:pPr>
              <w:adjustRightInd w:val="0"/>
              <w:snapToGrid w:val="0"/>
              <w:spacing w:line="300" w:lineRule="auto"/>
              <w:rPr>
                <w:rFonts w:eastAsia="標楷體"/>
                <w:sz w:val="28"/>
              </w:rPr>
            </w:pPr>
          </w:p>
        </w:tc>
        <w:tc>
          <w:tcPr>
            <w:tcW w:w="1378" w:type="dxa"/>
            <w:tcBorders>
              <w:top w:val="nil"/>
              <w:bottom w:val="single" w:sz="12" w:space="0" w:color="auto"/>
            </w:tcBorders>
          </w:tcPr>
          <w:p w:rsidR="00554063" w:rsidRPr="00AE0D77" w:rsidRDefault="00554063" w:rsidP="00C81B38">
            <w:pPr>
              <w:adjustRightInd w:val="0"/>
              <w:snapToGrid w:val="0"/>
              <w:spacing w:line="300" w:lineRule="auto"/>
              <w:jc w:val="center"/>
              <w:rPr>
                <w:rFonts w:eastAsia="標楷體"/>
                <w:sz w:val="28"/>
              </w:rPr>
            </w:pPr>
            <w:r w:rsidRPr="00AE0D77">
              <w:rPr>
                <w:rFonts w:eastAsia="標楷體"/>
                <w:sz w:val="28"/>
              </w:rPr>
              <w:t>7.88</w:t>
            </w:r>
          </w:p>
        </w:tc>
        <w:tc>
          <w:tcPr>
            <w:tcW w:w="1309" w:type="dxa"/>
            <w:vMerge/>
            <w:tcBorders>
              <w:bottom w:val="single" w:sz="12" w:space="0" w:color="auto"/>
            </w:tcBorders>
          </w:tcPr>
          <w:p w:rsidR="00554063" w:rsidRPr="00AE0D77" w:rsidRDefault="00554063" w:rsidP="00C81B38">
            <w:pPr>
              <w:adjustRightInd w:val="0"/>
              <w:snapToGrid w:val="0"/>
              <w:spacing w:line="300" w:lineRule="auto"/>
              <w:rPr>
                <w:rFonts w:eastAsia="標楷體"/>
                <w:sz w:val="28"/>
              </w:rPr>
            </w:pPr>
          </w:p>
        </w:tc>
      </w:tr>
      <w:tr w:rsidR="00554063" w:rsidRPr="00AE0D77" w:rsidTr="00C81B38">
        <w:trPr>
          <w:jc w:val="center"/>
        </w:trPr>
        <w:tc>
          <w:tcPr>
            <w:tcW w:w="7441" w:type="dxa"/>
            <w:gridSpan w:val="8"/>
            <w:tcBorders>
              <w:top w:val="single" w:sz="12" w:space="0" w:color="auto"/>
            </w:tcBorders>
          </w:tcPr>
          <w:p w:rsidR="00554063" w:rsidRPr="00AE0D77" w:rsidRDefault="00554063" w:rsidP="00C81B38">
            <w:pPr>
              <w:adjustRightInd w:val="0"/>
              <w:snapToGrid w:val="0"/>
              <w:ind w:left="564" w:hangingChars="282" w:hanging="564"/>
              <w:rPr>
                <w:rFonts w:eastAsia="標楷體"/>
                <w:sz w:val="20"/>
              </w:rPr>
            </w:pPr>
            <w:r w:rsidRPr="00AE0D77">
              <w:rPr>
                <w:rFonts w:eastAsia="標楷體"/>
                <w:sz w:val="20"/>
              </w:rPr>
              <w:t>註</w:t>
            </w:r>
            <w:r w:rsidRPr="00AE0D77">
              <w:rPr>
                <w:rFonts w:eastAsia="標楷體"/>
                <w:sz w:val="20"/>
              </w:rPr>
              <w:t>1</w:t>
            </w:r>
            <w:r w:rsidRPr="00AE0D77">
              <w:rPr>
                <w:rFonts w:eastAsia="標楷體"/>
                <w:sz w:val="20"/>
              </w:rPr>
              <w:t>：此處日本之房價所得比，係以日本總務省及國土交通省統計資料推估；以東京都為例，係以東京都區部之新建集合式住宅</w:t>
            </w:r>
            <w:r w:rsidRPr="00AE0D77">
              <w:rPr>
                <w:rFonts w:eastAsia="標楷體"/>
                <w:sz w:val="20"/>
              </w:rPr>
              <w:t>(</w:t>
            </w:r>
            <w:r w:rsidRPr="00AE0D77">
              <w:rPr>
                <w:rFonts w:eastAsia="標楷體"/>
                <w:sz w:val="20"/>
              </w:rPr>
              <w:t>マンション</w:t>
            </w:r>
            <w:r w:rsidRPr="00AE0D77">
              <w:rPr>
                <w:rFonts w:eastAsia="標楷體"/>
                <w:sz w:val="20"/>
              </w:rPr>
              <w:t>)</w:t>
            </w:r>
            <w:r w:rsidRPr="00AE0D77">
              <w:rPr>
                <w:rFonts w:eastAsia="標楷體"/>
                <w:sz w:val="20"/>
              </w:rPr>
              <w:t>平均成交價日圓除以關東地區之每戶平均可支配所得得出。其中，因區域別之每戶平均可支配所得僅有年資料，故以全年作統計比較。</w:t>
            </w:r>
          </w:p>
          <w:p w:rsidR="00554063" w:rsidRPr="00AE0D77" w:rsidRDefault="00554063" w:rsidP="00C81B38">
            <w:pPr>
              <w:adjustRightInd w:val="0"/>
              <w:snapToGrid w:val="0"/>
              <w:ind w:left="564" w:hangingChars="282" w:hanging="564"/>
              <w:rPr>
                <w:rFonts w:eastAsia="標楷體"/>
                <w:sz w:val="20"/>
              </w:rPr>
            </w:pPr>
            <w:r w:rsidRPr="00AE0D77">
              <w:rPr>
                <w:rFonts w:eastAsia="標楷體"/>
                <w:sz w:val="20"/>
              </w:rPr>
              <w:t>註</w:t>
            </w:r>
            <w:r w:rsidRPr="00AE0D77">
              <w:rPr>
                <w:rFonts w:eastAsia="標楷體"/>
                <w:sz w:val="20"/>
              </w:rPr>
              <w:t>2</w:t>
            </w:r>
            <w:r w:rsidRPr="00AE0D77">
              <w:rPr>
                <w:rFonts w:eastAsia="標楷體"/>
                <w:sz w:val="20"/>
              </w:rPr>
              <w:t>：台灣房價所得比採計中位數，一般而言，平均可支配所得會易受極端值影響，致平均數大於中位數，故此處推估之日本房價所得比可能低估。</w:t>
            </w:r>
          </w:p>
          <w:p w:rsidR="00554063" w:rsidRPr="00AE0D77" w:rsidRDefault="00554063" w:rsidP="00C81B38">
            <w:pPr>
              <w:adjustRightInd w:val="0"/>
              <w:snapToGrid w:val="0"/>
              <w:ind w:left="998" w:hangingChars="499" w:hanging="998"/>
              <w:rPr>
                <w:rFonts w:eastAsia="標楷體"/>
                <w:sz w:val="20"/>
              </w:rPr>
            </w:pPr>
            <w:r w:rsidRPr="00AE0D77">
              <w:rPr>
                <w:rFonts w:eastAsia="標楷體"/>
                <w:sz w:val="20"/>
              </w:rPr>
              <w:t>資料來源：內政部不動產資訊平台；日本国土交通省，不動産市場動向マンスリーレポート；日本総務省，家計調查。</w:t>
            </w:r>
          </w:p>
        </w:tc>
      </w:tr>
    </w:tbl>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w:t>
      </w:r>
    </w:p>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對此，雖然政府已積極推動興建社會住宅，惟亦應同步思考不動產相關稅制之改革，並制訂不動產租賃專法，給予租屋保護；例如，日本的不動產租賃專法「借地借家法」中，房屋租賃可區分為普通借家契約</w:t>
      </w:r>
      <w:r w:rsidRPr="00AE0D77">
        <w:rPr>
          <w:rFonts w:eastAsia="標楷體"/>
          <w:sz w:val="28"/>
        </w:rPr>
        <w:t>(</w:t>
      </w:r>
      <w:r w:rsidRPr="00AE0D77">
        <w:rPr>
          <w:rFonts w:eastAsia="標楷體"/>
          <w:sz w:val="28"/>
        </w:rPr>
        <w:t>不定期租賃</w:t>
      </w:r>
      <w:r w:rsidRPr="00AE0D77">
        <w:rPr>
          <w:rFonts w:eastAsia="標楷體"/>
          <w:sz w:val="28"/>
        </w:rPr>
        <w:t>)</w:t>
      </w:r>
      <w:r w:rsidRPr="00AE0D77">
        <w:rPr>
          <w:rFonts w:eastAsia="標楷體"/>
          <w:sz w:val="28"/>
        </w:rPr>
        <w:t>與定期借家契約</w:t>
      </w:r>
      <w:r w:rsidRPr="00AE0D77">
        <w:rPr>
          <w:rFonts w:eastAsia="標楷體"/>
          <w:sz w:val="28"/>
        </w:rPr>
        <w:t>(</w:t>
      </w:r>
      <w:r w:rsidRPr="00AE0D77">
        <w:rPr>
          <w:rFonts w:eastAsia="標楷體"/>
          <w:sz w:val="28"/>
        </w:rPr>
        <w:t>定期租賃</w:t>
      </w:r>
      <w:r w:rsidRPr="00AE0D77">
        <w:rPr>
          <w:rFonts w:eastAsia="標楷體"/>
          <w:sz w:val="28"/>
        </w:rPr>
        <w:t>)</w:t>
      </w:r>
      <w:r w:rsidRPr="00AE0D77">
        <w:rPr>
          <w:rFonts w:eastAsia="標楷體"/>
          <w:sz w:val="28"/>
        </w:rPr>
        <w:t>；在普通借家契約下，出租人若沒有正當理由，即使租約到期，也會自動延展；若有不續約的正當理由，出租人亦須在契約到期前</w:t>
      </w:r>
      <w:r w:rsidRPr="00AE0D77">
        <w:rPr>
          <w:rFonts w:eastAsia="標楷體"/>
          <w:sz w:val="28"/>
        </w:rPr>
        <w:t>6</w:t>
      </w:r>
      <w:r w:rsidRPr="00AE0D77">
        <w:rPr>
          <w:rFonts w:eastAsia="標楷體"/>
          <w:sz w:val="28"/>
        </w:rPr>
        <w:t>個月到</w:t>
      </w:r>
      <w:r w:rsidRPr="00AE0D77">
        <w:rPr>
          <w:rFonts w:eastAsia="標楷體"/>
          <w:sz w:val="28"/>
        </w:rPr>
        <w:t>1</w:t>
      </w:r>
      <w:r w:rsidRPr="00AE0D77">
        <w:rPr>
          <w:rFonts w:eastAsia="標楷體"/>
          <w:sz w:val="28"/>
        </w:rPr>
        <w:t>年通知承租人，因此對於保障人民居住安定上發揮相當程度的效果</w:t>
      </w:r>
      <w:r w:rsidRPr="00AE0D77">
        <w:rPr>
          <w:rFonts w:eastAsia="標楷體"/>
          <w:sz w:val="28"/>
          <w:vertAlign w:val="superscript"/>
        </w:rPr>
        <w:footnoteReference w:id="12"/>
      </w:r>
      <w:r w:rsidRPr="00AE0D77">
        <w:rPr>
          <w:rFonts w:eastAsia="標楷體"/>
          <w:sz w:val="28"/>
        </w:rPr>
        <w:t>。而根據日本國土交通省「平成</w:t>
      </w:r>
      <w:r w:rsidRPr="00AE0D77">
        <w:rPr>
          <w:rFonts w:eastAsia="標楷體"/>
          <w:sz w:val="28"/>
        </w:rPr>
        <w:t>28</w:t>
      </w:r>
      <w:r w:rsidRPr="00AE0D77">
        <w:rPr>
          <w:rFonts w:eastAsia="標楷體"/>
          <w:sz w:val="28"/>
        </w:rPr>
        <w:t>年度住宅市場動向調査報告書」統計</w:t>
      </w:r>
      <w:r w:rsidRPr="00AE0D77">
        <w:rPr>
          <w:rFonts w:eastAsia="標楷體"/>
          <w:sz w:val="28"/>
        </w:rPr>
        <w:t>(</w:t>
      </w:r>
      <w:r w:rsidRPr="00AE0D77">
        <w:rPr>
          <w:rFonts w:eastAsia="標楷體"/>
          <w:sz w:val="28"/>
        </w:rPr>
        <w:t>如圖</w:t>
      </w:r>
      <w:r w:rsidRPr="00AE0D77">
        <w:rPr>
          <w:rFonts w:eastAsia="標楷體"/>
          <w:sz w:val="28"/>
        </w:rPr>
        <w:t>6)</w:t>
      </w:r>
      <w:r w:rsidRPr="00AE0D77">
        <w:rPr>
          <w:rFonts w:eastAsia="標楷體"/>
          <w:sz w:val="28"/>
        </w:rPr>
        <w:t>，</w:t>
      </w:r>
      <w:r w:rsidRPr="00AE0D77">
        <w:rPr>
          <w:rFonts w:eastAsia="標楷體"/>
          <w:sz w:val="28"/>
        </w:rPr>
        <w:t>2016</w:t>
      </w:r>
      <w:r w:rsidRPr="00AE0D77">
        <w:rPr>
          <w:rFonts w:eastAsia="標楷體"/>
          <w:sz w:val="28"/>
        </w:rPr>
        <w:t>年</w:t>
      </w:r>
      <w:r w:rsidRPr="00AE0D77">
        <w:rPr>
          <w:rFonts w:eastAsia="標楷體"/>
          <w:sz w:val="28"/>
        </w:rPr>
        <w:t>(</w:t>
      </w:r>
      <w:r w:rsidRPr="00AE0D77">
        <w:rPr>
          <w:rFonts w:eastAsia="標楷體"/>
          <w:sz w:val="28"/>
        </w:rPr>
        <w:t>平成</w:t>
      </w:r>
      <w:r w:rsidRPr="00AE0D77">
        <w:rPr>
          <w:rFonts w:eastAsia="標楷體"/>
          <w:sz w:val="28"/>
        </w:rPr>
        <w:t>28</w:t>
      </w:r>
      <w:r w:rsidRPr="00AE0D77">
        <w:rPr>
          <w:rFonts w:eastAsia="標楷體"/>
          <w:sz w:val="28"/>
        </w:rPr>
        <w:t>年</w:t>
      </w:r>
      <w:r w:rsidRPr="00AE0D77">
        <w:rPr>
          <w:rFonts w:eastAsia="標楷體"/>
          <w:sz w:val="28"/>
        </w:rPr>
        <w:t>)</w:t>
      </w:r>
      <w:r w:rsidRPr="00AE0D77">
        <w:rPr>
          <w:rFonts w:eastAsia="標楷體"/>
          <w:sz w:val="28"/>
        </w:rPr>
        <w:t>有高達</w:t>
      </w:r>
      <w:r w:rsidRPr="00AE0D77">
        <w:rPr>
          <w:rFonts w:eastAsia="標楷體"/>
          <w:sz w:val="28"/>
        </w:rPr>
        <w:t>97.4%</w:t>
      </w:r>
      <w:r w:rsidRPr="00AE0D77">
        <w:rPr>
          <w:rFonts w:eastAsia="標楷體"/>
          <w:sz w:val="28"/>
        </w:rPr>
        <w:t>的房屋租賃契約為「普通借家」；建議政府可參酌日本「借地借家法」的立法精神，建立完善的租屋法令規範，加速國內房屋租賃市場發展外，同時降低民眾在住宅服務支出的消費負擔，釋放潛在消費動能。</w:t>
      </w:r>
    </w:p>
    <w:p w:rsidR="00554063" w:rsidRPr="00AE0D77" w:rsidRDefault="00554063" w:rsidP="00554063">
      <w:pPr>
        <w:adjustRightInd w:val="0"/>
        <w:snapToGrid w:val="0"/>
        <w:spacing w:line="360" w:lineRule="auto"/>
        <w:ind w:leftChars="200" w:left="480"/>
        <w:rPr>
          <w:rFonts w:eastAsia="標楷體"/>
          <w:sz w:val="28"/>
        </w:rPr>
      </w:pPr>
    </w:p>
    <w:p w:rsidR="00554063" w:rsidRPr="00AE0D77" w:rsidRDefault="00554063" w:rsidP="00554063">
      <w:pPr>
        <w:adjustRightInd w:val="0"/>
        <w:snapToGrid w:val="0"/>
        <w:spacing w:line="360" w:lineRule="auto"/>
        <w:jc w:val="center"/>
        <w:rPr>
          <w:rFonts w:eastAsia="標楷體"/>
          <w:sz w:val="28"/>
        </w:rPr>
      </w:pPr>
      <w:r w:rsidRPr="00AE0D77">
        <w:rPr>
          <w:rFonts w:eastAsia="標楷體"/>
          <w:noProof/>
          <w:sz w:val="28"/>
        </w:rPr>
        <mc:AlternateContent>
          <mc:Choice Requires="wps">
            <w:drawing>
              <wp:anchor distT="0" distB="0" distL="114300" distR="114300" simplePos="0" relativeHeight="252473856" behindDoc="0" locked="0" layoutInCell="1" allowOverlap="1" wp14:anchorId="4D12EB92" wp14:editId="69E40EDD">
                <wp:simplePos x="0" y="0"/>
                <wp:positionH relativeFrom="column">
                  <wp:posOffset>453613</wp:posOffset>
                </wp:positionH>
                <wp:positionV relativeFrom="paragraph">
                  <wp:posOffset>1952625</wp:posOffset>
                </wp:positionV>
                <wp:extent cx="741680" cy="1403985"/>
                <wp:effectExtent l="0" t="0" r="1270" b="381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3985"/>
                        </a:xfrm>
                        <a:prstGeom prst="rect">
                          <a:avLst/>
                        </a:prstGeom>
                        <a:solidFill>
                          <a:srgbClr val="FFFFFF"/>
                        </a:solidFill>
                        <a:ln w="9525">
                          <a:noFill/>
                          <a:miter lim="800000"/>
                          <a:headEnd/>
                          <a:tailEnd/>
                        </a:ln>
                      </wps:spPr>
                      <wps:txbx>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2016年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5.7pt;margin-top:153.75pt;width:58.4pt;height:110.55pt;z-index:252473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" stroked="f">
                <v:textbox style="mso-fit-shape-to-text:t">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2016年</w:t>
                      </w:r>
                    </w:p>
                  </w:txbxContent>
                </v:textbox>
              </v:shape>
            </w:pict>
          </mc:Fallback>
        </mc:AlternateContent>
      </w:r>
      <w:r w:rsidRPr="00AE0D77">
        <w:rPr>
          <w:rFonts w:eastAsia="標楷體"/>
          <w:noProof/>
          <w:sz w:val="28"/>
        </w:rPr>
        <mc:AlternateContent>
          <mc:Choice Requires="wps">
            <w:drawing>
              <wp:anchor distT="0" distB="0" distL="114300" distR="114300" simplePos="0" relativeHeight="252474880" behindDoc="0" locked="0" layoutInCell="1" allowOverlap="1" wp14:anchorId="6D1B116B" wp14:editId="42782D9B">
                <wp:simplePos x="0" y="0"/>
                <wp:positionH relativeFrom="column">
                  <wp:posOffset>457200</wp:posOffset>
                </wp:positionH>
                <wp:positionV relativeFrom="paragraph">
                  <wp:posOffset>1539017</wp:posOffset>
                </wp:positionV>
                <wp:extent cx="741680" cy="1403985"/>
                <wp:effectExtent l="0" t="0" r="1270" b="381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3985"/>
                        </a:xfrm>
                        <a:prstGeom prst="rect">
                          <a:avLst/>
                        </a:prstGeom>
                        <a:solidFill>
                          <a:srgbClr val="FFFFFF"/>
                        </a:solidFill>
                        <a:ln w="9525">
                          <a:noFill/>
                          <a:miter lim="800000"/>
                          <a:headEnd/>
                          <a:tailEnd/>
                        </a:ln>
                      </wps:spPr>
                      <wps:txbx>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2015年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6pt;margin-top:121.2pt;width:58.4pt;height:110.55pt;z-index:252474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" stroked="f">
                <v:textbox style="mso-fit-shape-to-text:t">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2015年</w:t>
                      </w:r>
                    </w:p>
                  </w:txbxContent>
                </v:textbox>
              </v:shape>
            </w:pict>
          </mc:Fallback>
        </mc:AlternateContent>
      </w:r>
      <w:r w:rsidRPr="00AE0D77">
        <w:rPr>
          <w:rFonts w:eastAsia="標楷體"/>
          <w:noProof/>
          <w:sz w:val="28"/>
        </w:rPr>
        <mc:AlternateContent>
          <mc:Choice Requires="wps">
            <w:drawing>
              <wp:anchor distT="0" distB="0" distL="114300" distR="114300" simplePos="0" relativeHeight="252475904" behindDoc="0" locked="0" layoutInCell="1" allowOverlap="1" wp14:anchorId="177A7731" wp14:editId="503B4B25">
                <wp:simplePos x="0" y="0"/>
                <wp:positionH relativeFrom="column">
                  <wp:posOffset>456153</wp:posOffset>
                </wp:positionH>
                <wp:positionV relativeFrom="paragraph">
                  <wp:posOffset>1128395</wp:posOffset>
                </wp:positionV>
                <wp:extent cx="741680" cy="1403985"/>
                <wp:effectExtent l="0" t="0" r="1270" b="381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3985"/>
                        </a:xfrm>
                        <a:prstGeom prst="rect">
                          <a:avLst/>
                        </a:prstGeom>
                        <a:solidFill>
                          <a:srgbClr val="FFFFFF"/>
                        </a:solidFill>
                        <a:ln w="9525">
                          <a:noFill/>
                          <a:miter lim="800000"/>
                          <a:headEnd/>
                          <a:tailEnd/>
                        </a:ln>
                      </wps:spPr>
                      <wps:txbx>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w:t>
                            </w:r>
                            <w:r>
                              <w:rPr>
                                <w:rFonts w:ascii="微軟正黑體" w:eastAsia="微軟正黑體" w:hAnsi="微軟正黑體" w:hint="eastAsia"/>
                                <w:b/>
                                <w:sz w:val="20"/>
                              </w:rPr>
                              <w:t>014</w:t>
                            </w:r>
                            <w:r w:rsidRPr="00A75FE5">
                              <w:rPr>
                                <w:rFonts w:ascii="微軟正黑體" w:eastAsia="微軟正黑體" w:hAnsi="微軟正黑體" w:hint="eastAsia"/>
                                <w:b/>
                                <w:sz w:val="20"/>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5.9pt;margin-top:88.85pt;width:58.4pt;height:110.55pt;z-index:25247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" stroked="f">
                <v:textbox style="mso-fit-shape-to-text:t">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w:t>
                      </w:r>
                      <w:r>
                        <w:rPr>
                          <w:rFonts w:ascii="微軟正黑體" w:eastAsia="微軟正黑體" w:hAnsi="微軟正黑體" w:hint="eastAsia"/>
                          <w:b/>
                          <w:sz w:val="20"/>
                        </w:rPr>
                        <w:t>014</w:t>
                      </w:r>
                      <w:r w:rsidRPr="00A75FE5">
                        <w:rPr>
                          <w:rFonts w:ascii="微軟正黑體" w:eastAsia="微軟正黑體" w:hAnsi="微軟正黑體" w:hint="eastAsia"/>
                          <w:b/>
                          <w:sz w:val="20"/>
                        </w:rPr>
                        <w:t>年</w:t>
                      </w:r>
                    </w:p>
                  </w:txbxContent>
                </v:textbox>
              </v:shape>
            </w:pict>
          </mc:Fallback>
        </mc:AlternateContent>
      </w:r>
      <w:r w:rsidRPr="00AE0D77">
        <w:rPr>
          <w:rFonts w:eastAsia="標楷體"/>
          <w:noProof/>
          <w:sz w:val="28"/>
        </w:rPr>
        <mc:AlternateContent>
          <mc:Choice Requires="wps">
            <w:drawing>
              <wp:anchor distT="0" distB="0" distL="114300" distR="114300" simplePos="0" relativeHeight="252476928" behindDoc="0" locked="0" layoutInCell="1" allowOverlap="1" wp14:anchorId="0DBEBB10" wp14:editId="691B0883">
                <wp:simplePos x="0" y="0"/>
                <wp:positionH relativeFrom="column">
                  <wp:posOffset>455930</wp:posOffset>
                </wp:positionH>
                <wp:positionV relativeFrom="paragraph">
                  <wp:posOffset>719867</wp:posOffset>
                </wp:positionV>
                <wp:extent cx="741680" cy="1403985"/>
                <wp:effectExtent l="0" t="0" r="1270" b="3810"/>
                <wp:wrapNone/>
                <wp:docPr id="4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3985"/>
                        </a:xfrm>
                        <a:prstGeom prst="rect">
                          <a:avLst/>
                        </a:prstGeom>
                        <a:solidFill>
                          <a:srgbClr val="FFFFFF"/>
                        </a:solidFill>
                        <a:ln w="9525">
                          <a:noFill/>
                          <a:miter lim="800000"/>
                          <a:headEnd/>
                          <a:tailEnd/>
                        </a:ln>
                      </wps:spPr>
                      <wps:txbx>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201</w:t>
                            </w:r>
                            <w:r>
                              <w:rPr>
                                <w:rFonts w:ascii="微軟正黑體" w:eastAsia="微軟正黑體" w:hAnsi="微軟正黑體" w:hint="eastAsia"/>
                                <w:b/>
                                <w:sz w:val="20"/>
                              </w:rPr>
                              <w:t>3</w:t>
                            </w:r>
                            <w:r w:rsidRPr="00A75FE5">
                              <w:rPr>
                                <w:rFonts w:ascii="微軟正黑體" w:eastAsia="微軟正黑體" w:hAnsi="微軟正黑體" w:hint="eastAsia"/>
                                <w:b/>
                                <w:sz w:val="20"/>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5.9pt;margin-top:56.7pt;width:58.4pt;height:110.55pt;z-index:25247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" stroked="f">
                <v:textbox style="mso-fit-shape-to-text:t">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201</w:t>
                      </w:r>
                      <w:r>
                        <w:rPr>
                          <w:rFonts w:ascii="微軟正黑體" w:eastAsia="微軟正黑體" w:hAnsi="微軟正黑體" w:hint="eastAsia"/>
                          <w:b/>
                          <w:sz w:val="20"/>
                        </w:rPr>
                        <w:t>3</w:t>
                      </w:r>
                      <w:r w:rsidRPr="00A75FE5">
                        <w:rPr>
                          <w:rFonts w:ascii="微軟正黑體" w:eastAsia="微軟正黑體" w:hAnsi="微軟正黑體" w:hint="eastAsia"/>
                          <w:b/>
                          <w:sz w:val="20"/>
                        </w:rPr>
                        <w:t>年</w:t>
                      </w:r>
                    </w:p>
                  </w:txbxContent>
                </v:textbox>
              </v:shape>
            </w:pict>
          </mc:Fallback>
        </mc:AlternateContent>
      </w:r>
      <w:r w:rsidRPr="00AE0D77">
        <w:rPr>
          <w:rFonts w:eastAsia="標楷體"/>
          <w:noProof/>
          <w:sz w:val="28"/>
        </w:rPr>
        <mc:AlternateContent>
          <mc:Choice Requires="wps">
            <w:drawing>
              <wp:anchor distT="0" distB="0" distL="114300" distR="114300" simplePos="0" relativeHeight="252477952" behindDoc="0" locked="0" layoutInCell="1" allowOverlap="1" wp14:anchorId="4D22702B" wp14:editId="3D35EEA6">
                <wp:simplePos x="0" y="0"/>
                <wp:positionH relativeFrom="column">
                  <wp:posOffset>464185</wp:posOffset>
                </wp:positionH>
                <wp:positionV relativeFrom="paragraph">
                  <wp:posOffset>314102</wp:posOffset>
                </wp:positionV>
                <wp:extent cx="741680" cy="1403985"/>
                <wp:effectExtent l="0" t="0" r="1270" b="381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3985"/>
                        </a:xfrm>
                        <a:prstGeom prst="rect">
                          <a:avLst/>
                        </a:prstGeom>
                        <a:solidFill>
                          <a:srgbClr val="FFFFFF"/>
                        </a:solidFill>
                        <a:ln w="9525">
                          <a:noFill/>
                          <a:miter lim="800000"/>
                          <a:headEnd/>
                          <a:tailEnd/>
                        </a:ln>
                      </wps:spPr>
                      <wps:txbx>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201</w:t>
                            </w:r>
                            <w:r>
                              <w:rPr>
                                <w:rFonts w:ascii="微軟正黑體" w:eastAsia="微軟正黑體" w:hAnsi="微軟正黑體" w:hint="eastAsia"/>
                                <w:b/>
                                <w:sz w:val="20"/>
                              </w:rPr>
                              <w:t>2</w:t>
                            </w:r>
                            <w:r w:rsidRPr="00A75FE5">
                              <w:rPr>
                                <w:rFonts w:ascii="微軟正黑體" w:eastAsia="微軟正黑體" w:hAnsi="微軟正黑體" w:hint="eastAsia"/>
                                <w:b/>
                                <w:sz w:val="20"/>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6.55pt;margin-top:24.75pt;width:58.4pt;height:110.55pt;z-index:25247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" stroked="f">
                <v:textbox style="mso-fit-shape-to-text:t">
                  <w:txbxContent>
                    <w:p w:rsidR="006D5A67" w:rsidRPr="00A75FE5" w:rsidRDefault="006D5A67" w:rsidP="00554063">
                      <w:pPr>
                        <w:adjustRightInd w:val="0"/>
                        <w:snapToGrid w:val="0"/>
                        <w:jc w:val="center"/>
                        <w:rPr>
                          <w:rFonts w:ascii="微軟正黑體" w:eastAsia="微軟正黑體" w:hAnsi="微軟正黑體"/>
                          <w:b/>
                          <w:sz w:val="20"/>
                        </w:rPr>
                      </w:pPr>
                      <w:r w:rsidRPr="00A75FE5">
                        <w:rPr>
                          <w:rFonts w:ascii="微軟正黑體" w:eastAsia="微軟正黑體" w:hAnsi="微軟正黑體" w:hint="eastAsia"/>
                          <w:b/>
                          <w:sz w:val="20"/>
                        </w:rPr>
                        <w:t>201</w:t>
                      </w:r>
                      <w:r>
                        <w:rPr>
                          <w:rFonts w:ascii="微軟正黑體" w:eastAsia="微軟正黑體" w:hAnsi="微軟正黑體" w:hint="eastAsia"/>
                          <w:b/>
                          <w:sz w:val="20"/>
                        </w:rPr>
                        <w:t>2</w:t>
                      </w:r>
                      <w:r w:rsidRPr="00A75FE5">
                        <w:rPr>
                          <w:rFonts w:ascii="微軟正黑體" w:eastAsia="微軟正黑體" w:hAnsi="微軟正黑體" w:hint="eastAsia"/>
                          <w:b/>
                          <w:sz w:val="20"/>
                        </w:rPr>
                        <w:t>年</w:t>
                      </w:r>
                    </w:p>
                  </w:txbxContent>
                </v:textbox>
              </v:shape>
            </w:pict>
          </mc:Fallback>
        </mc:AlternateContent>
      </w:r>
      <w:r w:rsidRPr="00AE0D77">
        <w:rPr>
          <w:rFonts w:eastAsia="標楷體"/>
          <w:noProof/>
          <w:sz w:val="28"/>
        </w:rPr>
        <w:drawing>
          <wp:inline distT="0" distB="0" distL="0" distR="0" wp14:anchorId="591125A7" wp14:editId="01DE5F39">
            <wp:extent cx="4608898" cy="2552369"/>
            <wp:effectExtent l="0" t="0" r="1270" b="635"/>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4374" cy="2555402"/>
                    </a:xfrm>
                    <a:prstGeom prst="rect">
                      <a:avLst/>
                    </a:prstGeom>
                    <a:noFill/>
                    <a:ln>
                      <a:noFill/>
                    </a:ln>
                  </pic:spPr>
                </pic:pic>
              </a:graphicData>
            </a:graphic>
          </wp:inline>
        </w:drawing>
      </w:r>
    </w:p>
    <w:p w:rsidR="00554063" w:rsidRPr="00AE0D77" w:rsidRDefault="00554063" w:rsidP="00554063">
      <w:pPr>
        <w:adjustRightInd w:val="0"/>
        <w:snapToGrid w:val="0"/>
        <w:spacing w:line="360" w:lineRule="auto"/>
        <w:ind w:leftChars="236" w:left="566"/>
        <w:rPr>
          <w:rFonts w:eastAsia="標楷體"/>
          <w:sz w:val="28"/>
        </w:rPr>
      </w:pPr>
      <w:r w:rsidRPr="00AE0D77">
        <w:rPr>
          <w:rFonts w:eastAsia="標楷體"/>
          <w:sz w:val="20"/>
        </w:rPr>
        <w:t>資料來源：日本國土交通省，平成</w:t>
      </w:r>
      <w:r w:rsidRPr="00AE0D77">
        <w:rPr>
          <w:rFonts w:eastAsia="標楷體"/>
          <w:sz w:val="20"/>
        </w:rPr>
        <w:t>28</w:t>
      </w:r>
      <w:r w:rsidRPr="00AE0D77">
        <w:rPr>
          <w:rFonts w:eastAsia="標楷體"/>
          <w:sz w:val="20"/>
        </w:rPr>
        <w:t>年度住宅市場動向調査報告書。</w:t>
      </w:r>
    </w:p>
    <w:p w:rsidR="00554063" w:rsidRPr="00AE0D77" w:rsidRDefault="00554063" w:rsidP="00554063">
      <w:pPr>
        <w:adjustRightInd w:val="0"/>
        <w:snapToGrid w:val="0"/>
        <w:spacing w:afterLines="100" w:after="360" w:line="360" w:lineRule="auto"/>
        <w:jc w:val="center"/>
        <w:rPr>
          <w:rFonts w:eastAsia="標楷體"/>
          <w:b/>
          <w:sz w:val="28"/>
        </w:rPr>
      </w:pPr>
      <w:r w:rsidRPr="00AE0D77">
        <w:rPr>
          <w:rFonts w:eastAsia="標楷體"/>
          <w:b/>
          <w:sz w:val="28"/>
        </w:rPr>
        <w:t>圖</w:t>
      </w:r>
      <w:r w:rsidRPr="00AE0D77">
        <w:rPr>
          <w:rFonts w:eastAsia="標楷體"/>
          <w:b/>
          <w:sz w:val="28"/>
        </w:rPr>
        <w:t>6</w:t>
      </w:r>
      <w:r w:rsidRPr="00AE0D77">
        <w:rPr>
          <w:rFonts w:eastAsia="標楷體"/>
          <w:b/>
          <w:sz w:val="28"/>
        </w:rPr>
        <w:t xml:space="preserve">　日本定期與不定期房屋租賃契約的比例</w:t>
      </w:r>
    </w:p>
    <w:p w:rsidR="00554063" w:rsidRPr="00AE0D77" w:rsidRDefault="00554063" w:rsidP="00554063">
      <w:pPr>
        <w:adjustRightInd w:val="0"/>
        <w:snapToGrid w:val="0"/>
        <w:spacing w:line="360" w:lineRule="auto"/>
        <w:rPr>
          <w:rFonts w:eastAsia="標楷體"/>
          <w:b/>
          <w:sz w:val="28"/>
        </w:rPr>
      </w:pPr>
      <w:r w:rsidRPr="00AE0D77">
        <w:rPr>
          <w:rFonts w:eastAsia="標楷體"/>
          <w:b/>
          <w:sz w:val="28"/>
        </w:rPr>
        <w:t>（三）從誘發消費需求思考</w:t>
      </w:r>
    </w:p>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觀察我國民間消費統計發現</w:t>
      </w:r>
      <w:r w:rsidRPr="00AE0D77">
        <w:rPr>
          <w:rFonts w:eastAsia="標楷體"/>
          <w:sz w:val="28"/>
        </w:rPr>
        <w:t>(</w:t>
      </w:r>
      <w:r w:rsidRPr="00AE0D77">
        <w:rPr>
          <w:rFonts w:eastAsia="標楷體"/>
          <w:sz w:val="28"/>
        </w:rPr>
        <w:t>如圖</w:t>
      </w:r>
      <w:r w:rsidRPr="00AE0D77">
        <w:rPr>
          <w:rFonts w:eastAsia="標楷體"/>
          <w:sz w:val="28"/>
        </w:rPr>
        <w:t>7)</w:t>
      </w:r>
      <w:r w:rsidRPr="00AE0D77">
        <w:rPr>
          <w:rFonts w:eastAsia="標楷體"/>
          <w:sz w:val="28"/>
        </w:rPr>
        <w:t>，</w:t>
      </w:r>
      <w:r w:rsidRPr="00AE0D77">
        <w:rPr>
          <w:rFonts w:eastAsia="標楷體"/>
          <w:sz w:val="28"/>
        </w:rPr>
        <w:t>2007</w:t>
      </w:r>
      <w:r w:rsidRPr="00AE0D77">
        <w:rPr>
          <w:rFonts w:eastAsia="標楷體"/>
          <w:sz w:val="28"/>
        </w:rPr>
        <w:t>年智慧型手機的問世，帶動通訊類消費於金融海嘯中逆勢成長；如今隨著智慧型手機市場已趨成熟，若想要再次誘發消費需求，將放眼下一個世代的消費革命：物聯網。</w:t>
      </w:r>
    </w:p>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物聯網可以讓消費者透過智慧裝置、雲端伺服器，進而對家中電器等產品傳達指令，真正地從實體轉為數位生活型態；只是，隨著網絡對日常生活影響不斷加深，物聯網也會牽涉越來越多信任的問題。以智慧車為例，消費者勢必會關注個人隱私，以及車商如何運用蒐集到的資料等問題；一方面，如果車商無法有效保全消費者的行車數據，駭客攻擊便會成為潛在的消費危機。其次，車商將蒐集到的行車數據用作行銷或改善經營管理，如何與消費者協商使用數據的價金，可能也會阻礙交易的進行。</w:t>
      </w:r>
    </w:p>
    <w:p w:rsidR="00554063" w:rsidRPr="00AE0D77" w:rsidRDefault="00554063" w:rsidP="00554063">
      <w:pPr>
        <w:adjustRightInd w:val="0"/>
        <w:snapToGrid w:val="0"/>
        <w:spacing w:line="360" w:lineRule="auto"/>
        <w:ind w:leftChars="200" w:left="480"/>
        <w:rPr>
          <w:rFonts w:eastAsia="標楷體"/>
          <w:sz w:val="28"/>
        </w:rPr>
      </w:pPr>
    </w:p>
    <w:p w:rsidR="00554063" w:rsidRPr="00AE0D77" w:rsidRDefault="00554063" w:rsidP="00554063">
      <w:pPr>
        <w:adjustRightInd w:val="0"/>
        <w:snapToGrid w:val="0"/>
        <w:spacing w:line="360" w:lineRule="auto"/>
        <w:rPr>
          <w:rFonts w:eastAsia="標楷體"/>
          <w:sz w:val="28"/>
        </w:rPr>
      </w:pPr>
      <w:r w:rsidRPr="00AE0D77">
        <w:rPr>
          <w:rFonts w:eastAsia="標楷體"/>
          <w:noProof/>
          <w:sz w:val="28"/>
        </w:rPr>
        <w:drawing>
          <wp:inline distT="0" distB="0" distL="0" distR="0" wp14:anchorId="4AF7C23B" wp14:editId="1DE337F1">
            <wp:extent cx="5398936" cy="3029447"/>
            <wp:effectExtent l="0" t="0" r="11430" b="19050"/>
            <wp:docPr id="497" name="圖表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54063" w:rsidRPr="00AE0D77" w:rsidRDefault="00554063" w:rsidP="00554063">
      <w:pPr>
        <w:adjustRightInd w:val="0"/>
        <w:snapToGrid w:val="0"/>
        <w:spacing w:line="360" w:lineRule="auto"/>
        <w:rPr>
          <w:rFonts w:eastAsia="標楷體"/>
          <w:sz w:val="28"/>
        </w:rPr>
      </w:pPr>
      <w:r w:rsidRPr="00AE0D77">
        <w:rPr>
          <w:rFonts w:eastAsia="標楷體"/>
          <w:sz w:val="20"/>
        </w:rPr>
        <w:t>資料來源：行政院主計總處。</w:t>
      </w:r>
    </w:p>
    <w:p w:rsidR="00554063" w:rsidRPr="00AE0D77" w:rsidRDefault="00554063" w:rsidP="00554063">
      <w:pPr>
        <w:adjustRightInd w:val="0"/>
        <w:snapToGrid w:val="0"/>
        <w:spacing w:afterLines="100" w:after="360" w:line="360" w:lineRule="auto"/>
        <w:jc w:val="center"/>
        <w:rPr>
          <w:rFonts w:eastAsia="標楷體"/>
          <w:sz w:val="28"/>
        </w:rPr>
      </w:pPr>
      <w:r w:rsidRPr="00AE0D77">
        <w:rPr>
          <w:rFonts w:eastAsia="標楷體"/>
          <w:b/>
          <w:sz w:val="28"/>
        </w:rPr>
        <w:t>圖</w:t>
      </w:r>
      <w:r w:rsidRPr="00AE0D77">
        <w:rPr>
          <w:rFonts w:eastAsia="標楷體"/>
          <w:b/>
          <w:sz w:val="28"/>
        </w:rPr>
        <w:t>7</w:t>
      </w:r>
      <w:r w:rsidRPr="00AE0D77">
        <w:rPr>
          <w:rFonts w:eastAsia="標楷體"/>
          <w:b/>
          <w:sz w:val="28"/>
        </w:rPr>
        <w:t xml:space="preserve">　民間消費與其項下通訊類消費成長率</w:t>
      </w:r>
    </w:p>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因此，「區塊鏈」將會是物聯網不可或缺的關鍵技術之一。區塊鏈的核心概念就是去中心化、公開透明、不可竄改，可以確保人與人、人與物、物與物之間的資訊不被任何人竊取，物聯網便可透過區塊鏈的技術建立消費信任關係，節省大量的交易成本，真正賦予物聯網前進的動力。</w:t>
      </w:r>
    </w:p>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區塊鏈技術最早應用於數位貨幣</w:t>
      </w:r>
      <w:r w:rsidRPr="00AE0D77">
        <w:rPr>
          <w:rFonts w:eastAsia="標楷體"/>
          <w:sz w:val="28"/>
        </w:rPr>
        <w:t>(</w:t>
      </w:r>
      <w:r w:rsidRPr="00AE0D77">
        <w:rPr>
          <w:rFonts w:eastAsia="標楷體"/>
          <w:sz w:val="28"/>
        </w:rPr>
        <w:t>如比特幣、乙太幣等</w:t>
      </w:r>
      <w:r w:rsidRPr="00AE0D77">
        <w:rPr>
          <w:rFonts w:eastAsia="標楷體"/>
          <w:sz w:val="28"/>
        </w:rPr>
        <w:t>)</w:t>
      </w:r>
      <w:r w:rsidRPr="00AE0D77">
        <w:rPr>
          <w:rFonts w:eastAsia="標楷體"/>
          <w:sz w:val="28"/>
        </w:rPr>
        <w:t>，目前導入最多的則是金融界，尤其在跨境支付方面。一般而言，跨境支付從交易發生到清算，約需要</w:t>
      </w:r>
      <w:r w:rsidRPr="00AE0D77">
        <w:rPr>
          <w:rFonts w:eastAsia="標楷體"/>
          <w:sz w:val="28"/>
        </w:rPr>
        <w:t>1</w:t>
      </w:r>
      <w:r w:rsidRPr="00AE0D77">
        <w:rPr>
          <w:rFonts w:eastAsia="標楷體"/>
          <w:sz w:val="28"/>
        </w:rPr>
        <w:t>至</w:t>
      </w:r>
      <w:r w:rsidRPr="00AE0D77">
        <w:rPr>
          <w:rFonts w:eastAsia="標楷體"/>
          <w:sz w:val="28"/>
        </w:rPr>
        <w:t>5</w:t>
      </w:r>
      <w:r w:rsidRPr="00AE0D77">
        <w:rPr>
          <w:rFonts w:eastAsia="標楷體"/>
          <w:sz w:val="28"/>
        </w:rPr>
        <w:t>個工作天才能完成，區塊鏈導入後，最多只需數十分鐘就能完成，近乎在交易當下即可清算；根據</w:t>
      </w:r>
      <w:r w:rsidRPr="00AE0D77">
        <w:rPr>
          <w:rFonts w:eastAsia="標楷體"/>
          <w:sz w:val="28"/>
        </w:rPr>
        <w:t>2015</w:t>
      </w:r>
      <w:r w:rsidRPr="00AE0D77">
        <w:rPr>
          <w:rFonts w:eastAsia="標楷體"/>
          <w:sz w:val="28"/>
        </w:rPr>
        <w:t>年</w:t>
      </w:r>
      <w:r w:rsidRPr="00AE0D77">
        <w:rPr>
          <w:rFonts w:eastAsia="標楷體"/>
          <w:sz w:val="28"/>
        </w:rPr>
        <w:t>6</w:t>
      </w:r>
      <w:r w:rsidRPr="00AE0D77">
        <w:rPr>
          <w:rFonts w:eastAsia="標楷體"/>
          <w:sz w:val="28"/>
        </w:rPr>
        <w:t>月桑坦德</w:t>
      </w:r>
      <w:r w:rsidRPr="00AE0D77">
        <w:rPr>
          <w:rFonts w:eastAsia="標楷體"/>
          <w:sz w:val="28"/>
        </w:rPr>
        <w:t>(Santander)</w:t>
      </w:r>
      <w:r w:rsidRPr="00AE0D77">
        <w:rPr>
          <w:rFonts w:eastAsia="標楷體"/>
          <w:sz w:val="28"/>
        </w:rPr>
        <w:t>銀行等機構共同發布「</w:t>
      </w:r>
      <w:r w:rsidRPr="00AE0D77">
        <w:rPr>
          <w:rFonts w:eastAsia="標楷體"/>
          <w:sz w:val="28"/>
        </w:rPr>
        <w:t>The Fintech 2.0 Paper: rebooting financial services</w:t>
      </w:r>
      <w:r w:rsidRPr="00AE0D77">
        <w:rPr>
          <w:rFonts w:eastAsia="標楷體"/>
          <w:sz w:val="28"/>
        </w:rPr>
        <w:t>」分析報告預估至</w:t>
      </w:r>
      <w:r w:rsidRPr="00AE0D77">
        <w:rPr>
          <w:rFonts w:eastAsia="標楷體"/>
          <w:sz w:val="28"/>
        </w:rPr>
        <w:t>2022</w:t>
      </w:r>
      <w:r w:rsidRPr="00AE0D77">
        <w:rPr>
          <w:rFonts w:eastAsia="標楷體"/>
          <w:sz w:val="28"/>
        </w:rPr>
        <w:t>年以前，區塊鏈技術每年可以為銀行省下在跨境支付、證券交易及合約規範等方面支出約</w:t>
      </w:r>
      <w:r w:rsidRPr="00AE0D77">
        <w:rPr>
          <w:rFonts w:eastAsia="標楷體"/>
          <w:sz w:val="28"/>
        </w:rPr>
        <w:t>150</w:t>
      </w:r>
      <w:r w:rsidRPr="00AE0D77">
        <w:rPr>
          <w:rFonts w:eastAsia="標楷體"/>
          <w:sz w:val="28"/>
        </w:rPr>
        <w:t>億至</w:t>
      </w:r>
      <w:r w:rsidRPr="00AE0D77">
        <w:rPr>
          <w:rFonts w:eastAsia="標楷體"/>
          <w:sz w:val="28"/>
        </w:rPr>
        <w:t>200</w:t>
      </w:r>
      <w:r w:rsidRPr="00AE0D77">
        <w:rPr>
          <w:rFonts w:eastAsia="標楷體"/>
          <w:sz w:val="28"/>
        </w:rPr>
        <w:t>億美元</w:t>
      </w:r>
      <w:r w:rsidRPr="00AE0D77">
        <w:rPr>
          <w:rStyle w:val="aff6"/>
          <w:rFonts w:eastAsia="標楷體"/>
          <w:sz w:val="28"/>
        </w:rPr>
        <w:footnoteReference w:id="13"/>
      </w:r>
      <w:r w:rsidRPr="00AE0D77">
        <w:rPr>
          <w:rFonts w:eastAsia="標楷體"/>
          <w:sz w:val="28"/>
        </w:rPr>
        <w:t>。</w:t>
      </w:r>
    </w:p>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除了金融創新，區塊鏈技術同樣有助於推廣物聯網應用；在物聯網下，消費者利用智慧行動裝置與家中的智慧產品互動，業者掌握產品的營運與維修，區塊鏈則能確保讓這些資訊或數據不再由任何人或第三方中介機構監控。此外，區塊鏈不可竄改的特性，讓消費者方便掌握產品生產履歷，有效強化消費信賴感。</w:t>
      </w:r>
    </w:p>
    <w:p w:rsidR="00554063" w:rsidRPr="00AE0D77" w:rsidRDefault="00554063" w:rsidP="00554063">
      <w:pPr>
        <w:adjustRightInd w:val="0"/>
        <w:snapToGrid w:val="0"/>
        <w:spacing w:line="360" w:lineRule="auto"/>
        <w:ind w:leftChars="200" w:left="480"/>
        <w:rPr>
          <w:rFonts w:eastAsia="標楷體"/>
          <w:sz w:val="28"/>
        </w:rPr>
      </w:pPr>
      <w:r w:rsidRPr="00AE0D77">
        <w:rPr>
          <w:rFonts w:eastAsia="標楷體"/>
          <w:sz w:val="28"/>
        </w:rPr>
        <w:t xml:space="preserve">　　展望未來，區塊鏈勢必會加速物聯網等創新服務應用的腳步，然而目前除了金融領域外，其他領域的區塊鏈技術皆處在探索階段，短期而言，業者也不具開發誘因，建議政府優先推動公共區塊鏈發展，深化消費者與業者對區塊鏈及物聯網的認知與接受度</w:t>
      </w:r>
      <w:r w:rsidRPr="00AE0D77">
        <w:rPr>
          <w:rStyle w:val="aff6"/>
          <w:rFonts w:eastAsia="標楷體"/>
          <w:sz w:val="28"/>
        </w:rPr>
        <w:footnoteReference w:id="14"/>
      </w:r>
      <w:r w:rsidRPr="00AE0D77">
        <w:rPr>
          <w:rFonts w:eastAsia="標楷體"/>
          <w:sz w:val="28"/>
        </w:rPr>
        <w:t>，及早開創嶄新的消費環境與消費體驗，方能帶動新的消費需求。</w:t>
      </w:r>
    </w:p>
    <w:p w:rsidR="00554063" w:rsidRPr="00AE0D77" w:rsidRDefault="00554063" w:rsidP="00554063">
      <w:pPr>
        <w:adjustRightInd w:val="0"/>
        <w:snapToGrid w:val="0"/>
        <w:spacing w:line="360" w:lineRule="auto"/>
        <w:ind w:leftChars="200" w:left="480"/>
        <w:rPr>
          <w:rFonts w:eastAsia="標楷體"/>
          <w:sz w:val="28"/>
        </w:rPr>
      </w:pPr>
    </w:p>
    <w:p w:rsidR="00554063" w:rsidRPr="00AE0D77" w:rsidRDefault="00554063" w:rsidP="00554063">
      <w:pPr>
        <w:adjustRightInd w:val="0"/>
        <w:snapToGrid w:val="0"/>
        <w:spacing w:line="360" w:lineRule="auto"/>
        <w:rPr>
          <w:rFonts w:eastAsia="標楷體"/>
          <w:sz w:val="28"/>
        </w:rPr>
      </w:pPr>
    </w:p>
    <w:p w:rsidR="0063185A" w:rsidRPr="00AE0D77" w:rsidRDefault="0063185A" w:rsidP="00554063">
      <w:pPr>
        <w:widowControl/>
        <w:spacing w:beforeLines="50" w:before="180"/>
        <w:jc w:val="center"/>
        <w:rPr>
          <w:rFonts w:eastAsia="標楷體"/>
          <w:b/>
          <w:sz w:val="28"/>
          <w:szCs w:val="32"/>
        </w:rPr>
      </w:pPr>
    </w:p>
    <w:sectPr w:rsidR="0063185A" w:rsidRPr="00AE0D77" w:rsidSect="00514BE0">
      <w:footerReference w:type="default" r:id="rId41"/>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D56" w:rsidRDefault="00AF6D56">
      <w:r>
        <w:separator/>
      </w:r>
    </w:p>
  </w:endnote>
  <w:endnote w:type="continuationSeparator" w:id="0">
    <w:p w:rsidR="00AF6D56" w:rsidRDefault="00AF6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6D5A67" w:rsidRDefault="006D5A67" w:rsidP="00AE413E">
        <w:pPr>
          <w:pStyle w:val="a6"/>
          <w:spacing w:before="48"/>
          <w:ind w:left="1040" w:hanging="320"/>
          <w:jc w:val="center"/>
        </w:pPr>
        <w:r>
          <w:fldChar w:fldCharType="begin"/>
        </w:r>
        <w:r>
          <w:instrText>PAGE   \* MERGEFORMAT</w:instrText>
        </w:r>
        <w:r>
          <w:fldChar w:fldCharType="separate"/>
        </w:r>
        <w:r w:rsidR="00AE0D77" w:rsidRPr="00AE0D77">
          <w:rPr>
            <w:noProof/>
            <w:lang w:val="zh-TW"/>
          </w:rPr>
          <w:t>II</w:t>
        </w:r>
        <w:r>
          <w:fldChar w:fldCharType="end"/>
        </w:r>
      </w:p>
    </w:sdtContent>
  </w:sdt>
  <w:p w:rsidR="006D5A67" w:rsidRDefault="006D5A6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67" w:rsidRDefault="006D5A67">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6D5A67" w:rsidRDefault="006D5A67" w:rsidP="00AE413E">
        <w:pPr>
          <w:pStyle w:val="a6"/>
          <w:spacing w:before="48"/>
          <w:ind w:left="1040" w:hanging="320"/>
          <w:jc w:val="center"/>
        </w:pPr>
        <w:r>
          <w:fldChar w:fldCharType="begin"/>
        </w:r>
        <w:r>
          <w:instrText>PAGE   \* MERGEFORMAT</w:instrText>
        </w:r>
        <w:r>
          <w:fldChar w:fldCharType="separate"/>
        </w:r>
        <w:r w:rsidR="00DF2825" w:rsidRPr="00DF2825">
          <w:rPr>
            <w:noProof/>
            <w:lang w:val="zh-TW"/>
          </w:rPr>
          <w:t>8</w:t>
        </w:r>
        <w:r>
          <w:fldChar w:fldCharType="end"/>
        </w:r>
      </w:p>
    </w:sdtContent>
  </w:sdt>
  <w:p w:rsidR="006D5A67" w:rsidRDefault="006D5A6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6D5A67" w:rsidRDefault="006D5A67" w:rsidP="00AE413E">
        <w:pPr>
          <w:pStyle w:val="a6"/>
          <w:spacing w:before="48"/>
          <w:ind w:left="1040" w:hanging="320"/>
          <w:jc w:val="center"/>
        </w:pPr>
        <w:r>
          <w:fldChar w:fldCharType="begin"/>
        </w:r>
        <w:r>
          <w:instrText>PAGE   \* MERGEFORMAT</w:instrText>
        </w:r>
        <w:r>
          <w:fldChar w:fldCharType="separate"/>
        </w:r>
        <w:r w:rsidR="00DF2825" w:rsidRPr="00DF2825">
          <w:rPr>
            <w:noProof/>
            <w:lang w:val="zh-TW"/>
          </w:rPr>
          <w:t>7</w:t>
        </w:r>
        <w:r>
          <w:fldChar w:fldCharType="end"/>
        </w:r>
      </w:p>
    </w:sdtContent>
  </w:sdt>
  <w:p w:rsidR="006D5A67" w:rsidRDefault="006D5A67">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67" w:rsidRDefault="006D5A67">
    <w:pPr>
      <w:pStyle w:val="a6"/>
      <w:jc w:val="center"/>
    </w:pPr>
    <w:r>
      <w:fldChar w:fldCharType="begin"/>
    </w:r>
    <w:r>
      <w:instrText>PAGE   \* MERGEFORMAT</w:instrText>
    </w:r>
    <w:r>
      <w:fldChar w:fldCharType="separate"/>
    </w:r>
    <w:r w:rsidR="00983BF3" w:rsidRPr="00983BF3">
      <w:rPr>
        <w:noProof/>
        <w:lang w:val="zh-TW"/>
      </w:rPr>
      <w:t>67</w:t>
    </w:r>
    <w:r>
      <w:rPr>
        <w:noProof/>
        <w:lang w:val="zh-TW"/>
      </w:rPr>
      <w:fldChar w:fldCharType="end"/>
    </w:r>
  </w:p>
  <w:p w:rsidR="006D5A67" w:rsidRDefault="006D5A6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D56" w:rsidRDefault="00AF6D56">
      <w:r>
        <w:separator/>
      </w:r>
    </w:p>
  </w:footnote>
  <w:footnote w:type="continuationSeparator" w:id="0">
    <w:p w:rsidR="00AF6D56" w:rsidRDefault="00AF6D56">
      <w:r>
        <w:continuationSeparator/>
      </w:r>
    </w:p>
  </w:footnote>
  <w:footnote w:id="1">
    <w:p w:rsidR="006D5A67" w:rsidRPr="00DA199A" w:rsidRDefault="006D5A67" w:rsidP="00554063">
      <w:pPr>
        <w:pStyle w:val="af4"/>
        <w:rPr>
          <w:rFonts w:eastAsia="標楷體"/>
        </w:rPr>
      </w:pPr>
      <w:r w:rsidRPr="00DA199A">
        <w:rPr>
          <w:rStyle w:val="aff6"/>
          <w:rFonts w:eastAsia="標楷體"/>
        </w:rPr>
        <w:footnoteRef/>
      </w:r>
      <w:r w:rsidRPr="00DA199A">
        <w:rPr>
          <w:rFonts w:eastAsia="標楷體"/>
        </w:rPr>
        <w:t xml:space="preserve"> </w:t>
      </w:r>
      <w:r w:rsidRPr="00DA199A">
        <w:rPr>
          <w:rFonts w:eastAsia="標楷體"/>
        </w:rPr>
        <w:t>本文係屬個人研究心得，不代表經濟部立場。</w:t>
      </w:r>
    </w:p>
  </w:footnote>
  <w:footnote w:id="2">
    <w:p w:rsidR="006D5A67" w:rsidRPr="00300BD6" w:rsidRDefault="006D5A67" w:rsidP="00554063">
      <w:pPr>
        <w:pStyle w:val="af4"/>
        <w:ind w:left="168" w:hangingChars="84" w:hanging="168"/>
        <w:rPr>
          <w:rFonts w:eastAsia="標楷體"/>
        </w:rPr>
      </w:pPr>
      <w:r w:rsidRPr="00300BD6">
        <w:rPr>
          <w:rStyle w:val="aff6"/>
          <w:rFonts w:eastAsia="標楷體"/>
        </w:rPr>
        <w:footnoteRef/>
      </w:r>
      <w:r>
        <w:rPr>
          <w:rFonts w:eastAsia="標楷體" w:hint="eastAsia"/>
        </w:rPr>
        <w:t xml:space="preserve"> </w:t>
      </w:r>
      <w:r>
        <w:rPr>
          <w:rFonts w:eastAsia="標楷體" w:hint="eastAsia"/>
        </w:rPr>
        <w:t>雖然</w:t>
      </w:r>
      <w:r>
        <w:rPr>
          <w:rFonts w:eastAsia="標楷體" w:hint="eastAsia"/>
        </w:rPr>
        <w:t>GDP</w:t>
      </w:r>
      <w:r>
        <w:rPr>
          <w:rFonts w:eastAsia="標楷體" w:hint="eastAsia"/>
        </w:rPr>
        <w:t>作為衡量指標有其便利性，但</w:t>
      </w:r>
      <w:r>
        <w:rPr>
          <w:rFonts w:eastAsia="標楷體" w:hint="eastAsia"/>
        </w:rPr>
        <w:t>GDP</w:t>
      </w:r>
      <w:r>
        <w:rPr>
          <w:rFonts w:eastAsia="標楷體" w:hint="eastAsia"/>
        </w:rPr>
        <w:t>之父</w:t>
      </w:r>
      <w:r w:rsidRPr="004451EE">
        <w:rPr>
          <w:rFonts w:eastAsia="標楷體"/>
        </w:rPr>
        <w:t>Simon Kuznets</w:t>
      </w:r>
      <w:r>
        <w:rPr>
          <w:rFonts w:eastAsia="標楷體" w:hint="eastAsia"/>
        </w:rPr>
        <w:t>教授曾提醒，</w:t>
      </w:r>
      <w:r>
        <w:rPr>
          <w:rFonts w:eastAsia="標楷體" w:hint="eastAsia"/>
        </w:rPr>
        <w:t>GDP</w:t>
      </w:r>
      <w:r w:rsidRPr="009D2F65">
        <w:rPr>
          <w:rFonts w:eastAsia="標楷體" w:hint="eastAsia"/>
        </w:rPr>
        <w:t>無法將創造</w:t>
      </w:r>
      <w:r>
        <w:rPr>
          <w:rFonts w:eastAsia="標楷體" w:hint="eastAsia"/>
        </w:rPr>
        <w:t>產出時</w:t>
      </w:r>
      <w:r w:rsidRPr="009D2F65">
        <w:rPr>
          <w:rFonts w:eastAsia="標楷體" w:hint="eastAsia"/>
        </w:rPr>
        <w:t>的負面</w:t>
      </w:r>
      <w:r>
        <w:rPr>
          <w:rFonts w:eastAsia="標楷體" w:hint="eastAsia"/>
        </w:rPr>
        <w:t>影響</w:t>
      </w:r>
      <w:r w:rsidRPr="009D2F65">
        <w:rPr>
          <w:rFonts w:eastAsia="標楷體" w:hint="eastAsia"/>
        </w:rPr>
        <w:t>納入考量，因此不</w:t>
      </w:r>
      <w:r>
        <w:rPr>
          <w:rFonts w:eastAsia="標楷體" w:hint="eastAsia"/>
        </w:rPr>
        <w:t>適合</w:t>
      </w:r>
      <w:r w:rsidRPr="009D2F65">
        <w:rPr>
          <w:rFonts w:eastAsia="標楷體" w:hint="eastAsia"/>
        </w:rPr>
        <w:t>作為社會福祉的依據。</w:t>
      </w:r>
    </w:p>
  </w:footnote>
  <w:footnote w:id="3">
    <w:p w:rsidR="006D5A67" w:rsidRDefault="006D5A67" w:rsidP="00554063">
      <w:pPr>
        <w:pStyle w:val="af4"/>
        <w:ind w:left="168" w:hangingChars="84" w:hanging="168"/>
      </w:pPr>
      <w:r w:rsidRPr="00300BD6">
        <w:rPr>
          <w:rStyle w:val="aff6"/>
          <w:rFonts w:eastAsia="標楷體"/>
        </w:rPr>
        <w:footnoteRef/>
      </w:r>
      <w:r w:rsidRPr="00300BD6">
        <w:rPr>
          <w:rFonts w:eastAsia="標楷體"/>
        </w:rPr>
        <w:t xml:space="preserve"> </w:t>
      </w:r>
      <w:r w:rsidRPr="00300BD6">
        <w:rPr>
          <w:rFonts w:eastAsia="標楷體"/>
        </w:rPr>
        <w:t>「前瞻基礎建設計畫」包含軌道建設、水環境建設、綠能建設、數位建設及城鄉建設等</w:t>
      </w:r>
      <w:r w:rsidRPr="00300BD6">
        <w:rPr>
          <w:rFonts w:eastAsia="標楷體"/>
        </w:rPr>
        <w:t>5</w:t>
      </w:r>
      <w:r w:rsidRPr="00300BD6">
        <w:rPr>
          <w:rFonts w:eastAsia="標楷體"/>
        </w:rPr>
        <w:t>大建設計畫，以帶動國內投資與經濟穩定成長。</w:t>
      </w:r>
    </w:p>
  </w:footnote>
  <w:footnote w:id="4">
    <w:p w:rsidR="006D5A67" w:rsidRPr="00C5189E" w:rsidRDefault="006D5A67" w:rsidP="00554063">
      <w:pPr>
        <w:pStyle w:val="af4"/>
        <w:rPr>
          <w:rFonts w:eastAsia="標楷體"/>
        </w:rPr>
      </w:pPr>
      <w:r>
        <w:rPr>
          <w:rStyle w:val="aff6"/>
        </w:rPr>
        <w:footnoteRef/>
      </w:r>
      <w:r>
        <w:rPr>
          <w:rFonts w:hint="eastAsia"/>
        </w:rPr>
        <w:t xml:space="preserve"> </w:t>
      </w:r>
      <w:r w:rsidRPr="00C5189E">
        <w:rPr>
          <w:rFonts w:eastAsia="標楷體"/>
        </w:rPr>
        <w:t>詳見</w:t>
      </w:r>
      <w:r w:rsidRPr="002362E6">
        <w:rPr>
          <w:rFonts w:eastAsia="標楷體"/>
        </w:rPr>
        <w:t>http://english.mosf.go.kr/pc/selectTbPressCenterDtl.do?boardCd=N0001&amp;seq=4261</w:t>
      </w:r>
      <w:r w:rsidRPr="00C5189E">
        <w:rPr>
          <w:rFonts w:eastAsia="標楷體"/>
        </w:rPr>
        <w:t>。</w:t>
      </w:r>
    </w:p>
  </w:footnote>
  <w:footnote w:id="5">
    <w:p w:rsidR="006D5A67" w:rsidRPr="00C5189E" w:rsidRDefault="006D5A67" w:rsidP="00554063">
      <w:pPr>
        <w:pStyle w:val="af4"/>
        <w:keepLines/>
        <w:ind w:left="182" w:hangingChars="91" w:hanging="182"/>
        <w:rPr>
          <w:rFonts w:eastAsia="標楷體"/>
        </w:rPr>
      </w:pPr>
      <w:r w:rsidRPr="00C5189E">
        <w:rPr>
          <w:rStyle w:val="aff6"/>
          <w:rFonts w:eastAsia="標楷體"/>
        </w:rPr>
        <w:footnoteRef/>
      </w:r>
      <w:r w:rsidRPr="00C5189E">
        <w:rPr>
          <w:rFonts w:eastAsia="標楷體"/>
        </w:rPr>
        <w:t xml:space="preserve"> </w:t>
      </w:r>
      <w:r>
        <w:rPr>
          <w:rFonts w:eastAsia="標楷體" w:hint="eastAsia"/>
        </w:rPr>
        <w:t>據</w:t>
      </w:r>
      <w:r w:rsidRPr="00C5189E">
        <w:rPr>
          <w:rFonts w:eastAsia="標楷體"/>
        </w:rPr>
        <w:t>韓聯社報導，「</w:t>
      </w:r>
      <w:r w:rsidRPr="00C5189E">
        <w:rPr>
          <w:rFonts w:eastAsia="標楷體"/>
        </w:rPr>
        <w:t>The government will designate a "family day" once a month to give people more time to go shopping and travel, with incentives to be given to companies and institutions that adopt flexible working hours. The government will also draw up various discount programs for railways and hotels to encourage people to spend their after-work time in the country.</w:t>
      </w:r>
      <w:r w:rsidRPr="00C5189E">
        <w:rPr>
          <w:rFonts w:eastAsia="標楷體"/>
        </w:rPr>
        <w:t>」</w:t>
      </w:r>
      <w:r>
        <w:rPr>
          <w:rFonts w:eastAsia="標楷體" w:hint="eastAsia"/>
        </w:rPr>
        <w:t>參考網址：</w:t>
      </w:r>
      <w:r w:rsidRPr="007E37E6">
        <w:rPr>
          <w:rFonts w:eastAsia="標楷體"/>
        </w:rPr>
        <w:t>http://english.yonhapnews.co.kr/news/2017/02/22/0200000000AEN20170222012400320.html</w:t>
      </w:r>
      <w:r>
        <w:rPr>
          <w:rFonts w:eastAsia="標楷體" w:hint="eastAsia"/>
        </w:rPr>
        <w:t>。</w:t>
      </w:r>
    </w:p>
  </w:footnote>
  <w:footnote w:id="6">
    <w:p w:rsidR="006D5A67" w:rsidRPr="00A65A46" w:rsidRDefault="006D5A67" w:rsidP="00554063">
      <w:pPr>
        <w:pStyle w:val="af4"/>
      </w:pPr>
      <w:r>
        <w:rPr>
          <w:rStyle w:val="aff6"/>
        </w:rPr>
        <w:footnoteRef/>
      </w:r>
      <w:r>
        <w:rPr>
          <w:rFonts w:hint="eastAsia"/>
        </w:rPr>
        <w:t xml:space="preserve"> </w:t>
      </w:r>
      <w:r w:rsidRPr="00A65A46">
        <w:rPr>
          <w:rFonts w:eastAsia="標楷體"/>
        </w:rPr>
        <w:t>「因應陸客縮減衝擊國內旅遊措施」原理亦同，</w:t>
      </w:r>
      <w:r>
        <w:rPr>
          <w:rFonts w:eastAsia="標楷體" w:hint="eastAsia"/>
        </w:rPr>
        <w:t>文中</w:t>
      </w:r>
      <w:r w:rsidRPr="00A65A46">
        <w:rPr>
          <w:rFonts w:eastAsia="標楷體"/>
        </w:rPr>
        <w:t>不再贅述。</w:t>
      </w:r>
    </w:p>
  </w:footnote>
  <w:footnote w:id="7">
    <w:p w:rsidR="006D5A67" w:rsidRPr="005712A6" w:rsidRDefault="006D5A67" w:rsidP="00554063">
      <w:pPr>
        <w:pStyle w:val="af4"/>
        <w:ind w:left="168" w:hangingChars="84" w:hanging="168"/>
        <w:rPr>
          <w:rFonts w:eastAsia="標楷體"/>
        </w:rPr>
      </w:pPr>
      <w:r w:rsidRPr="005712A6">
        <w:rPr>
          <w:rStyle w:val="aff6"/>
          <w:rFonts w:eastAsia="標楷體"/>
        </w:rPr>
        <w:footnoteRef/>
      </w:r>
      <w:r>
        <w:rPr>
          <w:rFonts w:eastAsia="標楷體" w:hint="eastAsia"/>
        </w:rPr>
        <w:t xml:space="preserve"> </w:t>
      </w:r>
      <w:r>
        <w:rPr>
          <w:rFonts w:eastAsia="標楷體" w:hint="eastAsia"/>
        </w:rPr>
        <w:t>消費跨期替代的效果，可能要透過事前與事後的抽樣調查進行推估統計</w:t>
      </w:r>
      <w:r w:rsidRPr="005712A6">
        <w:rPr>
          <w:rFonts w:eastAsia="標楷體"/>
        </w:rPr>
        <w:t>。</w:t>
      </w:r>
    </w:p>
  </w:footnote>
  <w:footnote w:id="8">
    <w:p w:rsidR="006D5A67" w:rsidRPr="0038210C" w:rsidRDefault="006D5A67" w:rsidP="00554063">
      <w:pPr>
        <w:pStyle w:val="af4"/>
        <w:rPr>
          <w:rFonts w:eastAsia="標楷體"/>
        </w:rPr>
      </w:pPr>
      <w:r w:rsidRPr="0038210C">
        <w:rPr>
          <w:rStyle w:val="aff6"/>
          <w:rFonts w:eastAsia="標楷體"/>
        </w:rPr>
        <w:footnoteRef/>
      </w:r>
      <w:r>
        <w:rPr>
          <w:rFonts w:eastAsia="標楷體" w:hint="eastAsia"/>
        </w:rPr>
        <w:t xml:space="preserve"> </w:t>
      </w:r>
      <w:r>
        <w:rPr>
          <w:rFonts w:eastAsia="標楷體" w:hint="eastAsia"/>
        </w:rPr>
        <w:t>「</w:t>
      </w:r>
      <w:r w:rsidRPr="0038210C">
        <w:rPr>
          <w:rFonts w:eastAsia="標楷體"/>
        </w:rPr>
        <w:t>超值星期五</w:t>
      </w:r>
      <w:r>
        <w:rPr>
          <w:rFonts w:eastAsia="標楷體" w:hint="eastAsia"/>
        </w:rPr>
        <w:t>」透過彈性</w:t>
      </w:r>
      <w:r w:rsidRPr="0038210C">
        <w:rPr>
          <w:rFonts w:eastAsia="標楷體" w:hint="eastAsia"/>
        </w:rPr>
        <w:t>工時</w:t>
      </w:r>
      <w:r>
        <w:rPr>
          <w:rFonts w:eastAsia="標楷體" w:hint="eastAsia"/>
        </w:rPr>
        <w:t>調整工時結構</w:t>
      </w:r>
      <w:r w:rsidRPr="0038210C">
        <w:rPr>
          <w:rFonts w:eastAsia="標楷體" w:hint="eastAsia"/>
        </w:rPr>
        <w:t>，</w:t>
      </w:r>
      <w:r>
        <w:rPr>
          <w:rFonts w:eastAsia="標楷體" w:hint="eastAsia"/>
        </w:rPr>
        <w:t>原則上不會改變員工上班時數，因此</w:t>
      </w:r>
      <w:r w:rsidRPr="0038210C">
        <w:rPr>
          <w:rFonts w:eastAsia="標楷體" w:hint="eastAsia"/>
        </w:rPr>
        <w:t>薪資</w:t>
      </w:r>
      <w:r>
        <w:rPr>
          <w:rFonts w:eastAsia="標楷體" w:hint="eastAsia"/>
        </w:rPr>
        <w:t>所得不變。</w:t>
      </w:r>
    </w:p>
  </w:footnote>
  <w:footnote w:id="9">
    <w:p w:rsidR="006D5A67" w:rsidRPr="003C719A" w:rsidRDefault="006D5A67" w:rsidP="00554063">
      <w:pPr>
        <w:pStyle w:val="af4"/>
        <w:ind w:left="168" w:hangingChars="84" w:hanging="168"/>
      </w:pPr>
      <w:r w:rsidRPr="003C719A">
        <w:rPr>
          <w:rStyle w:val="aff6"/>
        </w:rPr>
        <w:footnoteRef/>
      </w:r>
      <w:r w:rsidRPr="003C719A">
        <w:t xml:space="preserve"> </w:t>
      </w:r>
      <w:r>
        <w:rPr>
          <w:rFonts w:eastAsia="標楷體" w:hint="eastAsia"/>
        </w:rPr>
        <w:t>申請標誌企業係指有配合超值星期五提供相關促銷、活動等之企業，</w:t>
      </w:r>
      <w:r w:rsidRPr="003C719A">
        <w:rPr>
          <w:rFonts w:eastAsia="標楷體"/>
        </w:rPr>
        <w:t>統計自「超值星期五」標誌申請網頁</w:t>
      </w:r>
      <w:r>
        <w:rPr>
          <w:rFonts w:eastAsia="標楷體" w:hint="eastAsia"/>
        </w:rPr>
        <w:t>，詳見</w:t>
      </w:r>
      <w:r w:rsidRPr="004547A1">
        <w:rPr>
          <w:rFonts w:eastAsia="標楷體"/>
        </w:rPr>
        <w:t>https://premium-friday.go.jp/partner/</w:t>
      </w:r>
      <w:r>
        <w:rPr>
          <w:rFonts w:eastAsia="標楷體" w:hint="eastAsia"/>
        </w:rPr>
        <w:t>。</w:t>
      </w:r>
    </w:p>
  </w:footnote>
  <w:footnote w:id="10">
    <w:p w:rsidR="006D5A67" w:rsidRPr="002020B8" w:rsidRDefault="006D5A67" w:rsidP="00554063">
      <w:pPr>
        <w:pStyle w:val="af4"/>
        <w:rPr>
          <w:rFonts w:eastAsia="標楷體"/>
        </w:rPr>
      </w:pPr>
      <w:r>
        <w:rPr>
          <w:rStyle w:val="aff6"/>
        </w:rPr>
        <w:footnoteRef/>
      </w:r>
      <w:r>
        <w:t xml:space="preserve"> </w:t>
      </w:r>
      <w:r w:rsidRPr="002020B8">
        <w:rPr>
          <w:rFonts w:eastAsia="標楷體"/>
        </w:rPr>
        <w:t>詳見</w:t>
      </w:r>
      <w:hyperlink r:id="rId1" w:history="1">
        <w:r w:rsidRPr="00EC307B">
          <w:rPr>
            <w:rStyle w:val="aff7"/>
            <w:rFonts w:eastAsia="標楷體"/>
          </w:rPr>
          <w:t>http://www.intage.co.jp/library/data/2017/03/intage_report20170303.pdf</w:t>
        </w:r>
      </w:hyperlink>
      <w:r>
        <w:rPr>
          <w:rFonts w:eastAsia="標楷體" w:hint="eastAsia"/>
        </w:rPr>
        <w:t>。</w:t>
      </w:r>
    </w:p>
  </w:footnote>
  <w:footnote w:id="11">
    <w:p w:rsidR="006D5A67" w:rsidRPr="00731039" w:rsidRDefault="006D5A67" w:rsidP="00554063">
      <w:pPr>
        <w:pStyle w:val="af4"/>
        <w:ind w:left="210" w:hangingChars="105" w:hanging="210"/>
        <w:rPr>
          <w:rFonts w:eastAsia="標楷體"/>
        </w:rPr>
      </w:pPr>
      <w:r>
        <w:rPr>
          <w:rStyle w:val="aff6"/>
        </w:rPr>
        <w:footnoteRef/>
      </w:r>
      <w:r w:rsidRPr="00731039">
        <w:rPr>
          <w:rFonts w:eastAsia="標楷體"/>
        </w:rPr>
        <w:t xml:space="preserve"> </w:t>
      </w:r>
      <w:r>
        <w:rPr>
          <w:rFonts w:eastAsia="標楷體" w:hint="eastAsia"/>
        </w:rPr>
        <w:t>根據</w:t>
      </w:r>
      <w:r>
        <w:rPr>
          <w:rFonts w:eastAsia="標楷體" w:hint="eastAsia"/>
        </w:rPr>
        <w:t>Intage</w:t>
      </w:r>
      <w:r>
        <w:rPr>
          <w:rFonts w:eastAsia="標楷體" w:hint="eastAsia"/>
        </w:rPr>
        <w:t>調查，</w:t>
      </w:r>
      <w:r w:rsidRPr="00731039">
        <w:rPr>
          <w:rFonts w:eastAsia="標楷體"/>
        </w:rPr>
        <w:t>對於受惠於「超值星期五」</w:t>
      </w:r>
      <w:r>
        <w:rPr>
          <w:rFonts w:eastAsia="標楷體" w:hint="eastAsia"/>
        </w:rPr>
        <w:t>的員工</w:t>
      </w:r>
      <w:r w:rsidRPr="00731039">
        <w:rPr>
          <w:rFonts w:eastAsia="標楷體"/>
        </w:rPr>
        <w:t>，有</w:t>
      </w:r>
      <w:r w:rsidRPr="00731039">
        <w:rPr>
          <w:rFonts w:eastAsia="標楷體"/>
        </w:rPr>
        <w:t>82.3%</w:t>
      </w:r>
      <w:r w:rsidRPr="00731039">
        <w:rPr>
          <w:rFonts w:eastAsia="標楷體"/>
        </w:rPr>
        <w:t>希望未來能夠繼續實施；</w:t>
      </w:r>
      <w:r>
        <w:rPr>
          <w:rFonts w:eastAsia="標楷體" w:hint="eastAsia"/>
        </w:rPr>
        <w:t>相對地</w:t>
      </w:r>
      <w:r w:rsidRPr="00731039">
        <w:rPr>
          <w:rFonts w:eastAsia="標楷體"/>
        </w:rPr>
        <w:t>，未受惠</w:t>
      </w:r>
      <w:r>
        <w:rPr>
          <w:rFonts w:eastAsia="標楷體" w:hint="eastAsia"/>
        </w:rPr>
        <w:t>於</w:t>
      </w:r>
      <w:r w:rsidRPr="00731039">
        <w:rPr>
          <w:rFonts w:eastAsia="標楷體"/>
        </w:rPr>
        <w:t>「超值星期五」的</w:t>
      </w:r>
      <w:r>
        <w:rPr>
          <w:rFonts w:eastAsia="標楷體" w:hint="eastAsia"/>
        </w:rPr>
        <w:t>員工</w:t>
      </w:r>
      <w:r w:rsidRPr="00731039">
        <w:rPr>
          <w:rFonts w:eastAsia="標楷體"/>
        </w:rPr>
        <w:t>，對相關措施則</w:t>
      </w:r>
      <w:r>
        <w:rPr>
          <w:rFonts w:eastAsia="標楷體" w:hint="eastAsia"/>
        </w:rPr>
        <w:t>持否定態度</w:t>
      </w:r>
      <w:r w:rsidRPr="00731039">
        <w:rPr>
          <w:rFonts w:eastAsia="標楷體"/>
        </w:rPr>
        <w:t>，主要</w:t>
      </w:r>
      <w:r>
        <w:rPr>
          <w:rFonts w:eastAsia="標楷體" w:hint="eastAsia"/>
        </w:rPr>
        <w:t>理由有</w:t>
      </w:r>
      <w:r w:rsidRPr="00731039">
        <w:rPr>
          <w:rFonts w:eastAsia="標楷體"/>
        </w:rPr>
        <w:t>「並非所有</w:t>
      </w:r>
      <w:r>
        <w:rPr>
          <w:rFonts w:eastAsia="標楷體" w:hint="eastAsia"/>
        </w:rPr>
        <w:t>行業或</w:t>
      </w:r>
      <w:r w:rsidRPr="00731039">
        <w:rPr>
          <w:rFonts w:eastAsia="標楷體"/>
        </w:rPr>
        <w:t>職</w:t>
      </w:r>
      <w:r>
        <w:rPr>
          <w:rFonts w:eastAsia="標楷體" w:hint="eastAsia"/>
        </w:rPr>
        <w:t>業</w:t>
      </w:r>
      <w:r w:rsidRPr="00731039">
        <w:rPr>
          <w:rFonts w:eastAsia="標楷體"/>
        </w:rPr>
        <w:t>都能提早下班」</w:t>
      </w:r>
      <w:r>
        <w:rPr>
          <w:rFonts w:eastAsia="標楷體" w:hint="eastAsia"/>
        </w:rPr>
        <w:t>(74.2%)</w:t>
      </w:r>
      <w:r w:rsidRPr="00731039">
        <w:rPr>
          <w:rFonts w:eastAsia="標楷體"/>
        </w:rPr>
        <w:t>、「自己</w:t>
      </w:r>
      <w:r>
        <w:rPr>
          <w:rFonts w:eastAsia="標楷體" w:hint="eastAsia"/>
        </w:rPr>
        <w:t>的公司</w:t>
      </w:r>
      <w:r w:rsidRPr="00731039">
        <w:rPr>
          <w:rFonts w:eastAsia="標楷體"/>
        </w:rPr>
        <w:t>應不會導入」</w:t>
      </w:r>
      <w:r>
        <w:rPr>
          <w:rFonts w:eastAsia="標楷體" w:hint="eastAsia"/>
        </w:rPr>
        <w:t>(61.0%)</w:t>
      </w:r>
      <w:r w:rsidRPr="00731039">
        <w:rPr>
          <w:rFonts w:eastAsia="標楷體"/>
        </w:rPr>
        <w:t>，</w:t>
      </w:r>
      <w:r>
        <w:rPr>
          <w:rFonts w:eastAsia="標楷體" w:hint="eastAsia"/>
        </w:rPr>
        <w:t>呈現相當兩極化的意見</w:t>
      </w:r>
      <w:r w:rsidRPr="00731039">
        <w:rPr>
          <w:rFonts w:eastAsia="標楷體"/>
        </w:rPr>
        <w:t>。</w:t>
      </w:r>
      <w:r>
        <w:rPr>
          <w:rFonts w:eastAsia="標楷體" w:hint="eastAsia"/>
        </w:rPr>
        <w:t>詳見</w:t>
      </w:r>
      <w:hyperlink r:id="rId2" w:history="1">
        <w:r w:rsidRPr="00525EC0">
          <w:rPr>
            <w:rStyle w:val="aff7"/>
            <w:rFonts w:eastAsia="標楷體" w:hint="eastAsia"/>
          </w:rPr>
          <w:t>http://www.intage.co.jp/library/data/2017/03/intage_report20170303.pdf</w:t>
        </w:r>
      </w:hyperlink>
      <w:r>
        <w:rPr>
          <w:rFonts w:eastAsia="標楷體" w:hint="eastAsia"/>
        </w:rPr>
        <w:t>。</w:t>
      </w:r>
    </w:p>
  </w:footnote>
  <w:footnote w:id="12">
    <w:p w:rsidR="006D5A67" w:rsidRDefault="006D5A67" w:rsidP="00554063">
      <w:pPr>
        <w:pStyle w:val="af4"/>
        <w:keepLines/>
        <w:ind w:left="210" w:hangingChars="105" w:hanging="210"/>
      </w:pPr>
      <w:r w:rsidRPr="00F25496">
        <w:rPr>
          <w:rStyle w:val="aff6"/>
          <w:rFonts w:eastAsia="標楷體"/>
        </w:rPr>
        <w:footnoteRef/>
      </w:r>
      <w:r w:rsidRPr="00F25496">
        <w:rPr>
          <w:rFonts w:eastAsia="標楷體"/>
        </w:rPr>
        <w:t xml:space="preserve"> </w:t>
      </w:r>
      <w:r w:rsidRPr="00F25496">
        <w:rPr>
          <w:rFonts w:eastAsia="標楷體"/>
        </w:rPr>
        <w:t>除日本，德國亦訂有完善的租屋法令制度，但是</w:t>
      </w:r>
      <w:r>
        <w:rPr>
          <w:rFonts w:eastAsia="標楷體" w:hint="eastAsia"/>
        </w:rPr>
        <w:t>這樣的制度卻</w:t>
      </w:r>
      <w:r w:rsidRPr="00F25496">
        <w:rPr>
          <w:rFonts w:eastAsia="標楷體"/>
        </w:rPr>
        <w:t>可能讓弱勢家庭更不容易找到租屋處；以德國為例，因為</w:t>
      </w:r>
      <w:r>
        <w:rPr>
          <w:rFonts w:eastAsia="標楷體" w:hint="eastAsia"/>
        </w:rPr>
        <w:t>屋主</w:t>
      </w:r>
      <w:r w:rsidRPr="00F25496">
        <w:rPr>
          <w:rFonts w:eastAsia="標楷體"/>
        </w:rPr>
        <w:t>不能</w:t>
      </w:r>
      <w:r>
        <w:rPr>
          <w:rFonts w:eastAsia="標楷體" w:hint="eastAsia"/>
        </w:rPr>
        <w:t>任意</w:t>
      </w:r>
      <w:r w:rsidRPr="00F25496">
        <w:rPr>
          <w:rFonts w:eastAsia="標楷體"/>
        </w:rPr>
        <w:t>將</w:t>
      </w:r>
      <w:r>
        <w:rPr>
          <w:rFonts w:eastAsia="標楷體" w:hint="eastAsia"/>
        </w:rPr>
        <w:t>承租人</w:t>
      </w:r>
      <w:r w:rsidRPr="00F25496">
        <w:rPr>
          <w:rFonts w:eastAsia="標楷體"/>
        </w:rPr>
        <w:t>趕走，</w:t>
      </w:r>
      <w:r>
        <w:rPr>
          <w:rFonts w:eastAsia="標楷體" w:hint="eastAsia"/>
        </w:rPr>
        <w:t>因此，承租人</w:t>
      </w:r>
      <w:r w:rsidRPr="00F25496">
        <w:rPr>
          <w:rFonts w:eastAsia="標楷體"/>
        </w:rPr>
        <w:t>被要求填寫類似求職的表格，內容可能包括職業、工作年資、薪水、工作合約等隱私資料，藉以篩選</w:t>
      </w:r>
      <w:r>
        <w:rPr>
          <w:rFonts w:eastAsia="標楷體" w:hint="eastAsia"/>
        </w:rPr>
        <w:t>承租的對象</w:t>
      </w:r>
      <w:r w:rsidRPr="00F25496">
        <w:rPr>
          <w:rFonts w:eastAsia="標楷體"/>
        </w:rPr>
        <w:t>。</w:t>
      </w:r>
      <w:r>
        <w:rPr>
          <w:rFonts w:eastAsia="標楷體" w:hint="eastAsia"/>
        </w:rPr>
        <w:t>因此，制定不動產租賃專法必須同時考量相關配套法令，例如，</w:t>
      </w:r>
      <w:r w:rsidRPr="00F25496">
        <w:rPr>
          <w:rFonts w:eastAsia="標楷體"/>
        </w:rPr>
        <w:t>日本為了確保高齡者居住安定，在高齡者法中制定「終身借家權」，只要</w:t>
      </w:r>
      <w:r>
        <w:rPr>
          <w:rFonts w:eastAsia="標楷體" w:hint="eastAsia"/>
        </w:rPr>
        <w:t>承</w:t>
      </w:r>
      <w:r w:rsidRPr="00F25496">
        <w:rPr>
          <w:rFonts w:eastAsia="標楷體"/>
        </w:rPr>
        <w:t>租人在世，租約將繼續。</w:t>
      </w:r>
    </w:p>
  </w:footnote>
  <w:footnote w:id="13">
    <w:p w:rsidR="006D5A67" w:rsidRPr="0070115C" w:rsidRDefault="006D5A67" w:rsidP="00554063">
      <w:pPr>
        <w:pStyle w:val="af4"/>
        <w:rPr>
          <w:rFonts w:eastAsia="標楷體"/>
        </w:rPr>
      </w:pPr>
      <w:r w:rsidRPr="0070115C">
        <w:rPr>
          <w:rStyle w:val="aff6"/>
          <w:rFonts w:eastAsia="標楷體"/>
        </w:rPr>
        <w:footnoteRef/>
      </w:r>
      <w:r w:rsidRPr="0070115C">
        <w:rPr>
          <w:rFonts w:eastAsia="標楷體"/>
        </w:rPr>
        <w:t xml:space="preserve"> </w:t>
      </w:r>
      <w:r w:rsidRPr="0070115C">
        <w:rPr>
          <w:rFonts w:eastAsia="標楷體"/>
        </w:rPr>
        <w:t>詳見</w:t>
      </w:r>
      <w:hyperlink r:id="rId3" w:history="1">
        <w:r w:rsidRPr="0070115C">
          <w:rPr>
            <w:rStyle w:val="aff7"/>
            <w:rFonts w:eastAsia="標楷體"/>
          </w:rPr>
          <w:t>http://santanderinnoventures.com/wp-content/uploads/2015/06/The-Fintech-2-0-Paper.pdf</w:t>
        </w:r>
      </w:hyperlink>
      <w:r w:rsidRPr="0070115C">
        <w:rPr>
          <w:rFonts w:eastAsia="標楷體"/>
        </w:rPr>
        <w:t>。</w:t>
      </w:r>
    </w:p>
  </w:footnote>
  <w:footnote w:id="14">
    <w:p w:rsidR="006D5A67" w:rsidRDefault="006D5A67" w:rsidP="00554063">
      <w:pPr>
        <w:pStyle w:val="af4"/>
        <w:ind w:left="210" w:hangingChars="105" w:hanging="210"/>
      </w:pPr>
      <w:r w:rsidRPr="0070115C">
        <w:rPr>
          <w:rStyle w:val="aff6"/>
          <w:rFonts w:eastAsia="標楷體"/>
        </w:rPr>
        <w:footnoteRef/>
      </w:r>
      <w:r>
        <w:rPr>
          <w:rFonts w:eastAsia="標楷體" w:hint="eastAsia"/>
        </w:rPr>
        <w:t xml:space="preserve"> </w:t>
      </w:r>
      <w:r w:rsidRPr="0070115C">
        <w:rPr>
          <w:rFonts w:eastAsia="標楷體"/>
        </w:rPr>
        <w:t>對消費者而言，區塊鏈</w:t>
      </w:r>
      <w:r>
        <w:rPr>
          <w:rFonts w:eastAsia="標楷體" w:hint="eastAsia"/>
        </w:rPr>
        <w:t>或物聯網可能</w:t>
      </w:r>
      <w:r w:rsidRPr="0070115C">
        <w:rPr>
          <w:rFonts w:eastAsia="標楷體"/>
        </w:rPr>
        <w:t>不像智慧型手機</w:t>
      </w:r>
      <w:r>
        <w:rPr>
          <w:rFonts w:eastAsia="標楷體" w:hint="eastAsia"/>
        </w:rPr>
        <w:t>如此</w:t>
      </w:r>
      <w:r w:rsidRPr="0070115C">
        <w:rPr>
          <w:rFonts w:eastAsia="標楷體"/>
        </w:rPr>
        <w:t>有感</w:t>
      </w:r>
      <w:r>
        <w:rPr>
          <w:rFonts w:eastAsia="標楷體" w:hint="eastAsia"/>
        </w:rPr>
        <w:t>，因此，應該</w:t>
      </w:r>
      <w:r>
        <w:rPr>
          <w:rFonts w:eastAsia="標楷體"/>
        </w:rPr>
        <w:t>善用消費者</w:t>
      </w:r>
      <w:r>
        <w:rPr>
          <w:rFonts w:eastAsia="標楷體" w:hint="eastAsia"/>
        </w:rPr>
        <w:t>得以充分瞭解商品生產流程</w:t>
      </w:r>
      <w:r w:rsidRPr="00202705">
        <w:rPr>
          <w:rFonts w:eastAsia="標楷體"/>
        </w:rPr>
        <w:t>的這個特性</w:t>
      </w:r>
      <w:r w:rsidRPr="0070115C">
        <w:rPr>
          <w:rFonts w:eastAsia="標楷體"/>
        </w:rPr>
        <w:t>，加強消費者的</w:t>
      </w:r>
      <w:r>
        <w:rPr>
          <w:rFonts w:eastAsia="標楷體" w:hint="eastAsia"/>
        </w:rPr>
        <w:t>消費動機</w:t>
      </w:r>
      <w:r w:rsidRPr="0070115C">
        <w:rPr>
          <w:rFonts w:eastAsia="標楷體"/>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FA5A51"/>
    <w:multiLevelType w:val="hybridMultilevel"/>
    <w:tmpl w:val="1E68D8A0"/>
    <w:lvl w:ilvl="0" w:tplc="ECCA9FC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7D016E"/>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6">
    <w:nsid w:val="1C2A368A"/>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B6423FB"/>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3">
    <w:nsid w:val="442512B0"/>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45AF1D75"/>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start w:val="1"/>
      <w:numFmt w:val="ideographTraditional"/>
      <w:lvlText w:val="%2、"/>
      <w:lvlJc w:val="left"/>
      <w:pPr>
        <w:ind w:left="1102" w:hanging="480"/>
      </w:pPr>
    </w:lvl>
    <w:lvl w:ilvl="2" w:tplc="0409001B">
      <w:start w:val="1"/>
      <w:numFmt w:val="lowerRoman"/>
      <w:lvlText w:val="%3."/>
      <w:lvlJc w:val="right"/>
      <w:pPr>
        <w:ind w:left="1582" w:hanging="480"/>
      </w:pPr>
    </w:lvl>
    <w:lvl w:ilvl="3" w:tplc="0409000F">
      <w:start w:val="1"/>
      <w:numFmt w:val="decimal"/>
      <w:lvlText w:val="%4."/>
      <w:lvlJc w:val="left"/>
      <w:pPr>
        <w:ind w:left="2062" w:hanging="480"/>
      </w:pPr>
    </w:lvl>
    <w:lvl w:ilvl="4" w:tplc="04090019">
      <w:start w:val="1"/>
      <w:numFmt w:val="ideographTraditional"/>
      <w:lvlText w:val="%5、"/>
      <w:lvlJc w:val="left"/>
      <w:pPr>
        <w:ind w:left="2542" w:hanging="480"/>
      </w:pPr>
    </w:lvl>
    <w:lvl w:ilvl="5" w:tplc="0409001B">
      <w:start w:val="1"/>
      <w:numFmt w:val="lowerRoman"/>
      <w:lvlText w:val="%6."/>
      <w:lvlJc w:val="right"/>
      <w:pPr>
        <w:ind w:left="3022" w:hanging="480"/>
      </w:pPr>
    </w:lvl>
    <w:lvl w:ilvl="6" w:tplc="0409000F">
      <w:start w:val="1"/>
      <w:numFmt w:val="decimal"/>
      <w:lvlText w:val="%7."/>
      <w:lvlJc w:val="left"/>
      <w:pPr>
        <w:ind w:left="3502" w:hanging="480"/>
      </w:pPr>
    </w:lvl>
    <w:lvl w:ilvl="7" w:tplc="04090019">
      <w:start w:val="1"/>
      <w:numFmt w:val="ideographTraditional"/>
      <w:lvlText w:val="%8、"/>
      <w:lvlJc w:val="left"/>
      <w:pPr>
        <w:ind w:left="3982" w:hanging="480"/>
      </w:pPr>
    </w:lvl>
    <w:lvl w:ilvl="8" w:tplc="0409001B">
      <w:start w:val="1"/>
      <w:numFmt w:val="lowerRoman"/>
      <w:lvlText w:val="%9."/>
      <w:lvlJc w:val="right"/>
      <w:pPr>
        <w:ind w:left="4462" w:hanging="480"/>
      </w:pPr>
    </w:lvl>
  </w:abstractNum>
  <w:abstractNum w:abstractNumId="15">
    <w:nsid w:val="477059F5"/>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16">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3B21D57"/>
    <w:multiLevelType w:val="hybridMultilevel"/>
    <w:tmpl w:val="41EA0F22"/>
    <w:lvl w:ilvl="0" w:tplc="7FD81D88">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2">
    <w:nsid w:val="66911D71"/>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3">
    <w:nsid w:val="680966D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4">
    <w:nsid w:val="68623B3B"/>
    <w:multiLevelType w:val="hybridMultilevel"/>
    <w:tmpl w:val="A73E95CE"/>
    <w:lvl w:ilvl="0" w:tplc="9C0636AC">
      <w:start w:val="1"/>
      <w:numFmt w:val="taiwaneseCountingThousand"/>
      <w:lvlText w:val="%1、"/>
      <w:lvlJc w:val="left"/>
      <w:pPr>
        <w:ind w:left="906"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21"/>
  </w:num>
  <w:num w:numId="3">
    <w:abstractNumId w:val="25"/>
  </w:num>
  <w:num w:numId="4">
    <w:abstractNumId w:val="1"/>
  </w:num>
  <w:num w:numId="5">
    <w:abstractNumId w:val="8"/>
  </w:num>
  <w:num w:numId="6">
    <w:abstractNumId w:val="7"/>
  </w:num>
  <w:num w:numId="7">
    <w:abstractNumId w:val="0"/>
  </w:num>
  <w:num w:numId="8">
    <w:abstractNumId w:val="17"/>
  </w:num>
  <w:num w:numId="9">
    <w:abstractNumId w:val="9"/>
  </w:num>
  <w:num w:numId="10">
    <w:abstractNumId w:val="16"/>
  </w:num>
  <w:num w:numId="11">
    <w:abstractNumId w:val="10"/>
  </w:num>
  <w:num w:numId="12">
    <w:abstractNumId w:val="2"/>
  </w:num>
  <w:num w:numId="13">
    <w:abstractNumId w:val="12"/>
  </w:num>
  <w:num w:numId="14">
    <w:abstractNumId w:val="24"/>
  </w:num>
  <w:num w:numId="15">
    <w:abstractNumId w:val="13"/>
  </w:num>
  <w:num w:numId="16">
    <w:abstractNumId w:val="19"/>
  </w:num>
  <w:num w:numId="17">
    <w:abstractNumId w:val="23"/>
  </w:num>
  <w:num w:numId="18">
    <w:abstractNumId w:val="4"/>
  </w:num>
  <w:num w:numId="19">
    <w:abstractNumId w:val="15"/>
  </w:num>
  <w:num w:numId="20">
    <w:abstractNumId w:val="22"/>
  </w:num>
  <w:num w:numId="21">
    <w:abstractNumId w:val="6"/>
  </w:num>
  <w:num w:numId="22">
    <w:abstractNumId w:val="11"/>
  </w:num>
  <w:num w:numId="23">
    <w:abstractNumId w:val="18"/>
  </w:num>
  <w:num w:numId="24">
    <w:abstractNumId w:val="5"/>
  </w:num>
  <w:num w:numId="25">
    <w:abstractNumId w:val="3"/>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E14"/>
    <w:rsid w:val="00003E38"/>
    <w:rsid w:val="00003E66"/>
    <w:rsid w:val="00004383"/>
    <w:rsid w:val="000045A7"/>
    <w:rsid w:val="00004F96"/>
    <w:rsid w:val="00005267"/>
    <w:rsid w:val="000053C6"/>
    <w:rsid w:val="00005907"/>
    <w:rsid w:val="000059C1"/>
    <w:rsid w:val="00005F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729"/>
    <w:rsid w:val="00011961"/>
    <w:rsid w:val="00011991"/>
    <w:rsid w:val="000119BD"/>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198B"/>
    <w:rsid w:val="000223C5"/>
    <w:rsid w:val="00022697"/>
    <w:rsid w:val="0002298E"/>
    <w:rsid w:val="000229C3"/>
    <w:rsid w:val="00022AFF"/>
    <w:rsid w:val="00022E03"/>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1EE"/>
    <w:rsid w:val="00030508"/>
    <w:rsid w:val="000308B3"/>
    <w:rsid w:val="00030C69"/>
    <w:rsid w:val="00030EA7"/>
    <w:rsid w:val="00031355"/>
    <w:rsid w:val="00031901"/>
    <w:rsid w:val="00031AAB"/>
    <w:rsid w:val="00032EBF"/>
    <w:rsid w:val="000335DB"/>
    <w:rsid w:val="00033660"/>
    <w:rsid w:val="0003418D"/>
    <w:rsid w:val="000341D9"/>
    <w:rsid w:val="0003420C"/>
    <w:rsid w:val="0003422D"/>
    <w:rsid w:val="00035048"/>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1A2"/>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47"/>
    <w:rsid w:val="00056FAD"/>
    <w:rsid w:val="00057416"/>
    <w:rsid w:val="00057895"/>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CE"/>
    <w:rsid w:val="00066E44"/>
    <w:rsid w:val="00067D64"/>
    <w:rsid w:val="00067F0E"/>
    <w:rsid w:val="0007016B"/>
    <w:rsid w:val="0007033D"/>
    <w:rsid w:val="0007033F"/>
    <w:rsid w:val="00070487"/>
    <w:rsid w:val="00070520"/>
    <w:rsid w:val="0007090C"/>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024"/>
    <w:rsid w:val="000876E7"/>
    <w:rsid w:val="00087932"/>
    <w:rsid w:val="0009006B"/>
    <w:rsid w:val="00090132"/>
    <w:rsid w:val="0009017C"/>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574"/>
    <w:rsid w:val="000935D8"/>
    <w:rsid w:val="00093EBD"/>
    <w:rsid w:val="0009462E"/>
    <w:rsid w:val="00094B49"/>
    <w:rsid w:val="00094DAF"/>
    <w:rsid w:val="00095028"/>
    <w:rsid w:val="000956E2"/>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C3A"/>
    <w:rsid w:val="000A1DE2"/>
    <w:rsid w:val="000A2563"/>
    <w:rsid w:val="000A25FB"/>
    <w:rsid w:val="000A28A5"/>
    <w:rsid w:val="000A2CCD"/>
    <w:rsid w:val="000A2D59"/>
    <w:rsid w:val="000A31A6"/>
    <w:rsid w:val="000A3390"/>
    <w:rsid w:val="000A3A8A"/>
    <w:rsid w:val="000A41A1"/>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7B"/>
    <w:rsid w:val="000B1079"/>
    <w:rsid w:val="000B1833"/>
    <w:rsid w:val="000B1939"/>
    <w:rsid w:val="000B1BAD"/>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5B"/>
    <w:rsid w:val="000B6769"/>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52C"/>
    <w:rsid w:val="000C1AC5"/>
    <w:rsid w:val="000C232E"/>
    <w:rsid w:val="000C23C4"/>
    <w:rsid w:val="000C26AB"/>
    <w:rsid w:val="000C297C"/>
    <w:rsid w:val="000C29CA"/>
    <w:rsid w:val="000C2A5E"/>
    <w:rsid w:val="000C2C4B"/>
    <w:rsid w:val="000C38EB"/>
    <w:rsid w:val="000C4364"/>
    <w:rsid w:val="000C44B9"/>
    <w:rsid w:val="000C47C5"/>
    <w:rsid w:val="000C523F"/>
    <w:rsid w:val="000C53D5"/>
    <w:rsid w:val="000C540D"/>
    <w:rsid w:val="000C5418"/>
    <w:rsid w:val="000C549B"/>
    <w:rsid w:val="000C56F7"/>
    <w:rsid w:val="000C5DEC"/>
    <w:rsid w:val="000C5E08"/>
    <w:rsid w:val="000C5FD3"/>
    <w:rsid w:val="000C6158"/>
    <w:rsid w:val="000C665D"/>
    <w:rsid w:val="000C6680"/>
    <w:rsid w:val="000C67D5"/>
    <w:rsid w:val="000C6A72"/>
    <w:rsid w:val="000C73EC"/>
    <w:rsid w:val="000C7664"/>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79"/>
    <w:rsid w:val="000D69AC"/>
    <w:rsid w:val="000D6E3E"/>
    <w:rsid w:val="000D78AD"/>
    <w:rsid w:val="000D7A86"/>
    <w:rsid w:val="000E02B6"/>
    <w:rsid w:val="000E054D"/>
    <w:rsid w:val="000E08E8"/>
    <w:rsid w:val="000E09B7"/>
    <w:rsid w:val="000E0FF5"/>
    <w:rsid w:val="000E1C75"/>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A05"/>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69B"/>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D8"/>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708"/>
    <w:rsid w:val="0018383A"/>
    <w:rsid w:val="001839C0"/>
    <w:rsid w:val="00183AD5"/>
    <w:rsid w:val="00183BE6"/>
    <w:rsid w:val="00183C31"/>
    <w:rsid w:val="00183D8B"/>
    <w:rsid w:val="00183FBC"/>
    <w:rsid w:val="00183FCD"/>
    <w:rsid w:val="0018405A"/>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226E"/>
    <w:rsid w:val="001A2294"/>
    <w:rsid w:val="001A29AE"/>
    <w:rsid w:val="001A2D73"/>
    <w:rsid w:val="001A2EAB"/>
    <w:rsid w:val="001A3077"/>
    <w:rsid w:val="001A366F"/>
    <w:rsid w:val="001A37F4"/>
    <w:rsid w:val="001A3E61"/>
    <w:rsid w:val="001A3EA8"/>
    <w:rsid w:val="001A3F14"/>
    <w:rsid w:val="001A4196"/>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A36"/>
    <w:rsid w:val="001B5B0C"/>
    <w:rsid w:val="001B5EF1"/>
    <w:rsid w:val="001B6842"/>
    <w:rsid w:val="001B696D"/>
    <w:rsid w:val="001B6AFA"/>
    <w:rsid w:val="001B6C9E"/>
    <w:rsid w:val="001B7105"/>
    <w:rsid w:val="001B72E2"/>
    <w:rsid w:val="001B7869"/>
    <w:rsid w:val="001B7952"/>
    <w:rsid w:val="001B7B16"/>
    <w:rsid w:val="001B7CB7"/>
    <w:rsid w:val="001B7CEF"/>
    <w:rsid w:val="001B7E64"/>
    <w:rsid w:val="001C0047"/>
    <w:rsid w:val="001C013C"/>
    <w:rsid w:val="001C0676"/>
    <w:rsid w:val="001C11A8"/>
    <w:rsid w:val="001C13DC"/>
    <w:rsid w:val="001C1525"/>
    <w:rsid w:val="001C1554"/>
    <w:rsid w:val="001C17E1"/>
    <w:rsid w:val="001C1B09"/>
    <w:rsid w:val="001C1B7E"/>
    <w:rsid w:val="001C1DE0"/>
    <w:rsid w:val="001C1F67"/>
    <w:rsid w:val="001C21D5"/>
    <w:rsid w:val="001C2603"/>
    <w:rsid w:val="001C2676"/>
    <w:rsid w:val="001C2871"/>
    <w:rsid w:val="001C2BCC"/>
    <w:rsid w:val="001C2FA5"/>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D7E62"/>
    <w:rsid w:val="001E0985"/>
    <w:rsid w:val="001E1102"/>
    <w:rsid w:val="001E1489"/>
    <w:rsid w:val="001E1D21"/>
    <w:rsid w:val="001E1F40"/>
    <w:rsid w:val="001E1FBA"/>
    <w:rsid w:val="001E2684"/>
    <w:rsid w:val="001E280D"/>
    <w:rsid w:val="001E2A3F"/>
    <w:rsid w:val="001E2B6B"/>
    <w:rsid w:val="001E2C03"/>
    <w:rsid w:val="001E2CA5"/>
    <w:rsid w:val="001E2F67"/>
    <w:rsid w:val="001E30C8"/>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9AE"/>
    <w:rsid w:val="001F3A4F"/>
    <w:rsid w:val="001F3EA8"/>
    <w:rsid w:val="001F3FA2"/>
    <w:rsid w:val="001F4329"/>
    <w:rsid w:val="001F468C"/>
    <w:rsid w:val="001F497F"/>
    <w:rsid w:val="001F4A72"/>
    <w:rsid w:val="001F4C28"/>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C83"/>
    <w:rsid w:val="00203E60"/>
    <w:rsid w:val="00203E76"/>
    <w:rsid w:val="00204487"/>
    <w:rsid w:val="00204C6D"/>
    <w:rsid w:val="002050A4"/>
    <w:rsid w:val="00205273"/>
    <w:rsid w:val="00205613"/>
    <w:rsid w:val="00205624"/>
    <w:rsid w:val="0020581F"/>
    <w:rsid w:val="002058D9"/>
    <w:rsid w:val="00205987"/>
    <w:rsid w:val="00205C72"/>
    <w:rsid w:val="00205F1A"/>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6F3"/>
    <w:rsid w:val="0022676C"/>
    <w:rsid w:val="00227125"/>
    <w:rsid w:val="00227363"/>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5065"/>
    <w:rsid w:val="002650B3"/>
    <w:rsid w:val="002652F8"/>
    <w:rsid w:val="00265511"/>
    <w:rsid w:val="00265644"/>
    <w:rsid w:val="00265C55"/>
    <w:rsid w:val="00265E9D"/>
    <w:rsid w:val="00265F6E"/>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5C1"/>
    <w:rsid w:val="00293B4D"/>
    <w:rsid w:val="0029426F"/>
    <w:rsid w:val="0029452F"/>
    <w:rsid w:val="00294651"/>
    <w:rsid w:val="0029478F"/>
    <w:rsid w:val="00294AD9"/>
    <w:rsid w:val="0029516F"/>
    <w:rsid w:val="002952FA"/>
    <w:rsid w:val="002953B5"/>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D2B"/>
    <w:rsid w:val="002B7056"/>
    <w:rsid w:val="002B7161"/>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824"/>
    <w:rsid w:val="002D0F22"/>
    <w:rsid w:val="002D128B"/>
    <w:rsid w:val="002D1497"/>
    <w:rsid w:val="002D1564"/>
    <w:rsid w:val="002D1878"/>
    <w:rsid w:val="002D1931"/>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717B"/>
    <w:rsid w:val="002D72E8"/>
    <w:rsid w:val="002D7AEC"/>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F90"/>
    <w:rsid w:val="002E4630"/>
    <w:rsid w:val="002E4C34"/>
    <w:rsid w:val="002E4D28"/>
    <w:rsid w:val="002E536B"/>
    <w:rsid w:val="002E58E3"/>
    <w:rsid w:val="002E5BDD"/>
    <w:rsid w:val="002E5D0C"/>
    <w:rsid w:val="002E5F9F"/>
    <w:rsid w:val="002E630F"/>
    <w:rsid w:val="002E64FA"/>
    <w:rsid w:val="002E7100"/>
    <w:rsid w:val="002E7559"/>
    <w:rsid w:val="002E77FA"/>
    <w:rsid w:val="002E7856"/>
    <w:rsid w:val="002E7C46"/>
    <w:rsid w:val="002E7DAC"/>
    <w:rsid w:val="002E7F22"/>
    <w:rsid w:val="002F099B"/>
    <w:rsid w:val="002F0A65"/>
    <w:rsid w:val="002F0A6F"/>
    <w:rsid w:val="002F0BFD"/>
    <w:rsid w:val="002F0C17"/>
    <w:rsid w:val="002F0DED"/>
    <w:rsid w:val="002F1235"/>
    <w:rsid w:val="002F1992"/>
    <w:rsid w:val="002F1B6F"/>
    <w:rsid w:val="002F2241"/>
    <w:rsid w:val="002F24D5"/>
    <w:rsid w:val="002F289D"/>
    <w:rsid w:val="002F2FF7"/>
    <w:rsid w:val="002F3158"/>
    <w:rsid w:val="002F340E"/>
    <w:rsid w:val="002F36AD"/>
    <w:rsid w:val="002F3A81"/>
    <w:rsid w:val="002F40E3"/>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94D"/>
    <w:rsid w:val="003302B2"/>
    <w:rsid w:val="003305AE"/>
    <w:rsid w:val="0033066D"/>
    <w:rsid w:val="003307A2"/>
    <w:rsid w:val="00330CB7"/>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0E"/>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9A3"/>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EB2"/>
    <w:rsid w:val="00382155"/>
    <w:rsid w:val="003826CA"/>
    <w:rsid w:val="00382762"/>
    <w:rsid w:val="00383056"/>
    <w:rsid w:val="00383747"/>
    <w:rsid w:val="003838D5"/>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DE3"/>
    <w:rsid w:val="003C0F2B"/>
    <w:rsid w:val="003C0FB5"/>
    <w:rsid w:val="003C102E"/>
    <w:rsid w:val="003C2007"/>
    <w:rsid w:val="003C2064"/>
    <w:rsid w:val="003C2BCF"/>
    <w:rsid w:val="003C2E2B"/>
    <w:rsid w:val="003C36EB"/>
    <w:rsid w:val="003C3918"/>
    <w:rsid w:val="003C3EE0"/>
    <w:rsid w:val="003C3F80"/>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272"/>
    <w:rsid w:val="003D4408"/>
    <w:rsid w:val="003D4695"/>
    <w:rsid w:val="003D4EC1"/>
    <w:rsid w:val="003D4F53"/>
    <w:rsid w:val="003D5258"/>
    <w:rsid w:val="003D52C4"/>
    <w:rsid w:val="003D53F2"/>
    <w:rsid w:val="003D5570"/>
    <w:rsid w:val="003D58AB"/>
    <w:rsid w:val="003D59CF"/>
    <w:rsid w:val="003D5C15"/>
    <w:rsid w:val="003D5EB1"/>
    <w:rsid w:val="003D6ACA"/>
    <w:rsid w:val="003D6DBE"/>
    <w:rsid w:val="003D6E96"/>
    <w:rsid w:val="003D6F5C"/>
    <w:rsid w:val="003D7398"/>
    <w:rsid w:val="003D78B4"/>
    <w:rsid w:val="003D7D31"/>
    <w:rsid w:val="003D7D3A"/>
    <w:rsid w:val="003D7EBE"/>
    <w:rsid w:val="003E02CD"/>
    <w:rsid w:val="003E088B"/>
    <w:rsid w:val="003E098D"/>
    <w:rsid w:val="003E0E4E"/>
    <w:rsid w:val="003E0F4F"/>
    <w:rsid w:val="003E233A"/>
    <w:rsid w:val="003E23D4"/>
    <w:rsid w:val="003E25C0"/>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4BE9"/>
    <w:rsid w:val="003E4C4E"/>
    <w:rsid w:val="003E50DD"/>
    <w:rsid w:val="003E52FF"/>
    <w:rsid w:val="003E5F62"/>
    <w:rsid w:val="003E612C"/>
    <w:rsid w:val="003E651E"/>
    <w:rsid w:val="003E6753"/>
    <w:rsid w:val="003E6C23"/>
    <w:rsid w:val="003E71A8"/>
    <w:rsid w:val="003E73D3"/>
    <w:rsid w:val="003E77F4"/>
    <w:rsid w:val="003E78E1"/>
    <w:rsid w:val="003F0049"/>
    <w:rsid w:val="003F0EC7"/>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968"/>
    <w:rsid w:val="00445C28"/>
    <w:rsid w:val="004467E9"/>
    <w:rsid w:val="0044680D"/>
    <w:rsid w:val="00446A28"/>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4FBB"/>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C41"/>
    <w:rsid w:val="00482D9A"/>
    <w:rsid w:val="0048309F"/>
    <w:rsid w:val="0048310B"/>
    <w:rsid w:val="00483285"/>
    <w:rsid w:val="004835AF"/>
    <w:rsid w:val="004835FD"/>
    <w:rsid w:val="00483B83"/>
    <w:rsid w:val="00483DC6"/>
    <w:rsid w:val="00483FDE"/>
    <w:rsid w:val="0048451D"/>
    <w:rsid w:val="00484524"/>
    <w:rsid w:val="0048479E"/>
    <w:rsid w:val="00484ADF"/>
    <w:rsid w:val="00484C82"/>
    <w:rsid w:val="004855FD"/>
    <w:rsid w:val="00486078"/>
    <w:rsid w:val="004864D4"/>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A46"/>
    <w:rsid w:val="00492BFB"/>
    <w:rsid w:val="00492C17"/>
    <w:rsid w:val="00493174"/>
    <w:rsid w:val="00493D7C"/>
    <w:rsid w:val="00493DD1"/>
    <w:rsid w:val="00494B27"/>
    <w:rsid w:val="00495050"/>
    <w:rsid w:val="00495311"/>
    <w:rsid w:val="0049563D"/>
    <w:rsid w:val="004956E3"/>
    <w:rsid w:val="004963A0"/>
    <w:rsid w:val="0049683F"/>
    <w:rsid w:val="00496840"/>
    <w:rsid w:val="00496C76"/>
    <w:rsid w:val="00496DAB"/>
    <w:rsid w:val="004973A0"/>
    <w:rsid w:val="004978D9"/>
    <w:rsid w:val="00497A5E"/>
    <w:rsid w:val="00497ABC"/>
    <w:rsid w:val="00497C16"/>
    <w:rsid w:val="00497C5B"/>
    <w:rsid w:val="004A046C"/>
    <w:rsid w:val="004A0564"/>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8F8"/>
    <w:rsid w:val="004D3C2C"/>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D0D"/>
    <w:rsid w:val="004E1D99"/>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3E5"/>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AF1"/>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288"/>
    <w:rsid w:val="005175CE"/>
    <w:rsid w:val="00520462"/>
    <w:rsid w:val="00520B1F"/>
    <w:rsid w:val="00520BD5"/>
    <w:rsid w:val="00520C5C"/>
    <w:rsid w:val="00520E20"/>
    <w:rsid w:val="00520E4D"/>
    <w:rsid w:val="0052106F"/>
    <w:rsid w:val="0052125A"/>
    <w:rsid w:val="005216B9"/>
    <w:rsid w:val="00521BCE"/>
    <w:rsid w:val="00521EF0"/>
    <w:rsid w:val="00522275"/>
    <w:rsid w:val="0052288A"/>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4E2"/>
    <w:rsid w:val="00534503"/>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00"/>
    <w:rsid w:val="00542EF0"/>
    <w:rsid w:val="00543616"/>
    <w:rsid w:val="005440A0"/>
    <w:rsid w:val="005441B3"/>
    <w:rsid w:val="005445F5"/>
    <w:rsid w:val="00544693"/>
    <w:rsid w:val="005446F7"/>
    <w:rsid w:val="00544A24"/>
    <w:rsid w:val="00544E4D"/>
    <w:rsid w:val="0054516A"/>
    <w:rsid w:val="0054520A"/>
    <w:rsid w:val="0054549B"/>
    <w:rsid w:val="0054566C"/>
    <w:rsid w:val="00546380"/>
    <w:rsid w:val="00546732"/>
    <w:rsid w:val="00546A8D"/>
    <w:rsid w:val="00546E38"/>
    <w:rsid w:val="00547C3E"/>
    <w:rsid w:val="00547E3B"/>
    <w:rsid w:val="00547E6B"/>
    <w:rsid w:val="005503B7"/>
    <w:rsid w:val="005504A6"/>
    <w:rsid w:val="00550AAA"/>
    <w:rsid w:val="00550C02"/>
    <w:rsid w:val="00550E2B"/>
    <w:rsid w:val="00550E30"/>
    <w:rsid w:val="0055119E"/>
    <w:rsid w:val="0055135D"/>
    <w:rsid w:val="00551422"/>
    <w:rsid w:val="00551E0D"/>
    <w:rsid w:val="005521C3"/>
    <w:rsid w:val="00552375"/>
    <w:rsid w:val="005528B4"/>
    <w:rsid w:val="0055331B"/>
    <w:rsid w:val="005535E4"/>
    <w:rsid w:val="00553808"/>
    <w:rsid w:val="00553A71"/>
    <w:rsid w:val="00554063"/>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F77"/>
    <w:rsid w:val="0057271A"/>
    <w:rsid w:val="00572F59"/>
    <w:rsid w:val="00573216"/>
    <w:rsid w:val="005732AB"/>
    <w:rsid w:val="005738C5"/>
    <w:rsid w:val="00573F4E"/>
    <w:rsid w:val="00574A02"/>
    <w:rsid w:val="00574A67"/>
    <w:rsid w:val="00574FB6"/>
    <w:rsid w:val="005752C1"/>
    <w:rsid w:val="005752C2"/>
    <w:rsid w:val="005753A7"/>
    <w:rsid w:val="00575F49"/>
    <w:rsid w:val="00576223"/>
    <w:rsid w:val="005764A5"/>
    <w:rsid w:val="005765ED"/>
    <w:rsid w:val="00576A49"/>
    <w:rsid w:val="00576B7A"/>
    <w:rsid w:val="00576E3A"/>
    <w:rsid w:val="0057702A"/>
    <w:rsid w:val="005770A1"/>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623"/>
    <w:rsid w:val="005868F8"/>
    <w:rsid w:val="00586911"/>
    <w:rsid w:val="005870A7"/>
    <w:rsid w:val="0058711C"/>
    <w:rsid w:val="0058738E"/>
    <w:rsid w:val="00587BA1"/>
    <w:rsid w:val="00587D6B"/>
    <w:rsid w:val="00587E3C"/>
    <w:rsid w:val="00587E6A"/>
    <w:rsid w:val="00587EC5"/>
    <w:rsid w:val="00590184"/>
    <w:rsid w:val="0059021E"/>
    <w:rsid w:val="00590BB0"/>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4A3C"/>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5342"/>
    <w:rsid w:val="005F53DA"/>
    <w:rsid w:val="005F5713"/>
    <w:rsid w:val="005F5931"/>
    <w:rsid w:val="005F5B0F"/>
    <w:rsid w:val="005F5FA5"/>
    <w:rsid w:val="005F6319"/>
    <w:rsid w:val="005F6433"/>
    <w:rsid w:val="005F68E2"/>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5E4"/>
    <w:rsid w:val="006156F4"/>
    <w:rsid w:val="0061590E"/>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DA8"/>
    <w:rsid w:val="00637E95"/>
    <w:rsid w:val="0064028F"/>
    <w:rsid w:val="00640571"/>
    <w:rsid w:val="00640D6D"/>
    <w:rsid w:val="00640EDC"/>
    <w:rsid w:val="006410A2"/>
    <w:rsid w:val="0064118E"/>
    <w:rsid w:val="0064139A"/>
    <w:rsid w:val="006414A8"/>
    <w:rsid w:val="0064198F"/>
    <w:rsid w:val="00641B61"/>
    <w:rsid w:val="00641B89"/>
    <w:rsid w:val="00641F48"/>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ECB"/>
    <w:rsid w:val="00646FE3"/>
    <w:rsid w:val="0064702F"/>
    <w:rsid w:val="0064786D"/>
    <w:rsid w:val="00647946"/>
    <w:rsid w:val="006479C7"/>
    <w:rsid w:val="00647A4F"/>
    <w:rsid w:val="00647CAB"/>
    <w:rsid w:val="00650066"/>
    <w:rsid w:val="00650343"/>
    <w:rsid w:val="00650514"/>
    <w:rsid w:val="00650657"/>
    <w:rsid w:val="00650696"/>
    <w:rsid w:val="00650FC7"/>
    <w:rsid w:val="00651C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AAF"/>
    <w:rsid w:val="00656BB1"/>
    <w:rsid w:val="0065730C"/>
    <w:rsid w:val="006574AF"/>
    <w:rsid w:val="0065763D"/>
    <w:rsid w:val="00657716"/>
    <w:rsid w:val="00657930"/>
    <w:rsid w:val="00657ABD"/>
    <w:rsid w:val="00657B19"/>
    <w:rsid w:val="006600C6"/>
    <w:rsid w:val="0066014B"/>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ABE"/>
    <w:rsid w:val="00667B44"/>
    <w:rsid w:val="00667F33"/>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98"/>
    <w:rsid w:val="006769E3"/>
    <w:rsid w:val="00676E83"/>
    <w:rsid w:val="00676EA7"/>
    <w:rsid w:val="0067706B"/>
    <w:rsid w:val="006771F5"/>
    <w:rsid w:val="00677418"/>
    <w:rsid w:val="0067757C"/>
    <w:rsid w:val="00677705"/>
    <w:rsid w:val="0067784E"/>
    <w:rsid w:val="006779FB"/>
    <w:rsid w:val="00677A58"/>
    <w:rsid w:val="00680053"/>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49E"/>
    <w:rsid w:val="00693622"/>
    <w:rsid w:val="00693C6C"/>
    <w:rsid w:val="00693E98"/>
    <w:rsid w:val="0069400A"/>
    <w:rsid w:val="00694859"/>
    <w:rsid w:val="006952F6"/>
    <w:rsid w:val="00695783"/>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27A"/>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A67"/>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37F7"/>
    <w:rsid w:val="006E39D2"/>
    <w:rsid w:val="006E3A8C"/>
    <w:rsid w:val="006E3E6A"/>
    <w:rsid w:val="006E4FDA"/>
    <w:rsid w:val="006E5161"/>
    <w:rsid w:val="006E51A6"/>
    <w:rsid w:val="006E5458"/>
    <w:rsid w:val="006E5E39"/>
    <w:rsid w:val="006E670C"/>
    <w:rsid w:val="006E6771"/>
    <w:rsid w:val="006E67E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DD"/>
    <w:rsid w:val="006F405E"/>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3B9"/>
    <w:rsid w:val="007234B0"/>
    <w:rsid w:val="00723757"/>
    <w:rsid w:val="00723AE9"/>
    <w:rsid w:val="00723F63"/>
    <w:rsid w:val="007249F6"/>
    <w:rsid w:val="00724B02"/>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44"/>
    <w:rsid w:val="00730A57"/>
    <w:rsid w:val="00730B52"/>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0"/>
    <w:rsid w:val="00736348"/>
    <w:rsid w:val="0073641B"/>
    <w:rsid w:val="0073652B"/>
    <w:rsid w:val="007367A9"/>
    <w:rsid w:val="007367F0"/>
    <w:rsid w:val="00736BEF"/>
    <w:rsid w:val="00736E69"/>
    <w:rsid w:val="00737945"/>
    <w:rsid w:val="00737B30"/>
    <w:rsid w:val="00737DAE"/>
    <w:rsid w:val="00740443"/>
    <w:rsid w:val="0074044F"/>
    <w:rsid w:val="007405CB"/>
    <w:rsid w:val="00740665"/>
    <w:rsid w:val="0074150F"/>
    <w:rsid w:val="00741670"/>
    <w:rsid w:val="0074191D"/>
    <w:rsid w:val="0074258D"/>
    <w:rsid w:val="007425BA"/>
    <w:rsid w:val="00742755"/>
    <w:rsid w:val="0074284E"/>
    <w:rsid w:val="00742880"/>
    <w:rsid w:val="00742A34"/>
    <w:rsid w:val="00742BBA"/>
    <w:rsid w:val="00742CC2"/>
    <w:rsid w:val="00743014"/>
    <w:rsid w:val="0074310D"/>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2D3A"/>
    <w:rsid w:val="007534BD"/>
    <w:rsid w:val="007534EB"/>
    <w:rsid w:val="00753568"/>
    <w:rsid w:val="00754BCF"/>
    <w:rsid w:val="007550CE"/>
    <w:rsid w:val="007550FA"/>
    <w:rsid w:val="007552B3"/>
    <w:rsid w:val="0075641F"/>
    <w:rsid w:val="0075669C"/>
    <w:rsid w:val="00756D9B"/>
    <w:rsid w:val="00756E72"/>
    <w:rsid w:val="007576E8"/>
    <w:rsid w:val="00757D4A"/>
    <w:rsid w:val="007600A2"/>
    <w:rsid w:val="007604E1"/>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4C"/>
    <w:rsid w:val="0078346C"/>
    <w:rsid w:val="0078347D"/>
    <w:rsid w:val="007838CA"/>
    <w:rsid w:val="00783971"/>
    <w:rsid w:val="007844B4"/>
    <w:rsid w:val="00784BCE"/>
    <w:rsid w:val="00784C3E"/>
    <w:rsid w:val="00784F38"/>
    <w:rsid w:val="007850A1"/>
    <w:rsid w:val="00785C36"/>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543"/>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D7C12"/>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A51"/>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4CF"/>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2D0"/>
    <w:rsid w:val="00830379"/>
    <w:rsid w:val="008309DD"/>
    <w:rsid w:val="00830D7D"/>
    <w:rsid w:val="008310C9"/>
    <w:rsid w:val="008312F4"/>
    <w:rsid w:val="00831D64"/>
    <w:rsid w:val="00832551"/>
    <w:rsid w:val="0083266E"/>
    <w:rsid w:val="00832761"/>
    <w:rsid w:val="00832B80"/>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B4"/>
    <w:rsid w:val="008360F7"/>
    <w:rsid w:val="00836741"/>
    <w:rsid w:val="00836C21"/>
    <w:rsid w:val="00836F79"/>
    <w:rsid w:val="0083761A"/>
    <w:rsid w:val="00837BDF"/>
    <w:rsid w:val="00837CB1"/>
    <w:rsid w:val="008400EA"/>
    <w:rsid w:val="008404FC"/>
    <w:rsid w:val="00840550"/>
    <w:rsid w:val="008408DA"/>
    <w:rsid w:val="00840EB0"/>
    <w:rsid w:val="00841620"/>
    <w:rsid w:val="008416A3"/>
    <w:rsid w:val="00841776"/>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B34"/>
    <w:rsid w:val="00853DB6"/>
    <w:rsid w:val="00853EFA"/>
    <w:rsid w:val="008541A1"/>
    <w:rsid w:val="0085432C"/>
    <w:rsid w:val="0085463E"/>
    <w:rsid w:val="0085483D"/>
    <w:rsid w:val="00854E31"/>
    <w:rsid w:val="00854EDF"/>
    <w:rsid w:val="008551B7"/>
    <w:rsid w:val="008553B8"/>
    <w:rsid w:val="008553C5"/>
    <w:rsid w:val="00855DE3"/>
    <w:rsid w:val="008560C8"/>
    <w:rsid w:val="008562AC"/>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942"/>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6C7"/>
    <w:rsid w:val="0089671C"/>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448"/>
    <w:rsid w:val="008A1BDB"/>
    <w:rsid w:val="008A1EF5"/>
    <w:rsid w:val="008A1FFB"/>
    <w:rsid w:val="008A319E"/>
    <w:rsid w:val="008A3B11"/>
    <w:rsid w:val="008A3D5B"/>
    <w:rsid w:val="008A3F23"/>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B3E"/>
    <w:rsid w:val="008C520E"/>
    <w:rsid w:val="008C5362"/>
    <w:rsid w:val="008C5E6A"/>
    <w:rsid w:val="008C63B4"/>
    <w:rsid w:val="008C684D"/>
    <w:rsid w:val="008C6F2F"/>
    <w:rsid w:val="008C7624"/>
    <w:rsid w:val="008C7695"/>
    <w:rsid w:val="008C76E1"/>
    <w:rsid w:val="008C7932"/>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7029"/>
    <w:rsid w:val="009070EE"/>
    <w:rsid w:val="009076CC"/>
    <w:rsid w:val="009076D6"/>
    <w:rsid w:val="009078E4"/>
    <w:rsid w:val="00907A05"/>
    <w:rsid w:val="00907A06"/>
    <w:rsid w:val="00907C50"/>
    <w:rsid w:val="00907FD7"/>
    <w:rsid w:val="009101C0"/>
    <w:rsid w:val="00910240"/>
    <w:rsid w:val="00910993"/>
    <w:rsid w:val="00910D24"/>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4B07"/>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124F"/>
    <w:rsid w:val="0092154A"/>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A01"/>
    <w:rsid w:val="00940A63"/>
    <w:rsid w:val="00940A9D"/>
    <w:rsid w:val="00940BE1"/>
    <w:rsid w:val="00940C4B"/>
    <w:rsid w:val="00940DA0"/>
    <w:rsid w:val="00941177"/>
    <w:rsid w:val="009412B8"/>
    <w:rsid w:val="00941348"/>
    <w:rsid w:val="0094178B"/>
    <w:rsid w:val="00941984"/>
    <w:rsid w:val="00941A07"/>
    <w:rsid w:val="00941A2E"/>
    <w:rsid w:val="00941F2D"/>
    <w:rsid w:val="00942227"/>
    <w:rsid w:val="0094253B"/>
    <w:rsid w:val="00942C90"/>
    <w:rsid w:val="00942D67"/>
    <w:rsid w:val="00942FF7"/>
    <w:rsid w:val="00943470"/>
    <w:rsid w:val="00943702"/>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824"/>
    <w:rsid w:val="00961D62"/>
    <w:rsid w:val="00961F6F"/>
    <w:rsid w:val="00961F81"/>
    <w:rsid w:val="00962352"/>
    <w:rsid w:val="009624CA"/>
    <w:rsid w:val="009626A9"/>
    <w:rsid w:val="00962EFE"/>
    <w:rsid w:val="009630F4"/>
    <w:rsid w:val="0096318A"/>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2C0"/>
    <w:rsid w:val="009806DB"/>
    <w:rsid w:val="009810C3"/>
    <w:rsid w:val="00981174"/>
    <w:rsid w:val="00981361"/>
    <w:rsid w:val="0098182E"/>
    <w:rsid w:val="00981D02"/>
    <w:rsid w:val="00981F9E"/>
    <w:rsid w:val="00982208"/>
    <w:rsid w:val="009823E0"/>
    <w:rsid w:val="00982571"/>
    <w:rsid w:val="0098259E"/>
    <w:rsid w:val="00982C0A"/>
    <w:rsid w:val="00982CAC"/>
    <w:rsid w:val="00982CB8"/>
    <w:rsid w:val="009834A3"/>
    <w:rsid w:val="009834DE"/>
    <w:rsid w:val="0098352A"/>
    <w:rsid w:val="0098356B"/>
    <w:rsid w:val="009837DC"/>
    <w:rsid w:val="00983BF3"/>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A51"/>
    <w:rsid w:val="00997B31"/>
    <w:rsid w:val="00997D6C"/>
    <w:rsid w:val="00997F62"/>
    <w:rsid w:val="009A0020"/>
    <w:rsid w:val="009A00E9"/>
    <w:rsid w:val="009A0A78"/>
    <w:rsid w:val="009A0B00"/>
    <w:rsid w:val="009A0F06"/>
    <w:rsid w:val="009A1469"/>
    <w:rsid w:val="009A1567"/>
    <w:rsid w:val="009A15EC"/>
    <w:rsid w:val="009A1696"/>
    <w:rsid w:val="009A1A7B"/>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70DD"/>
    <w:rsid w:val="009C7216"/>
    <w:rsid w:val="009C7358"/>
    <w:rsid w:val="009C741B"/>
    <w:rsid w:val="009C748F"/>
    <w:rsid w:val="009C7748"/>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3BB5"/>
    <w:rsid w:val="009D48C1"/>
    <w:rsid w:val="009D4B6C"/>
    <w:rsid w:val="009D4F35"/>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37EB"/>
    <w:rsid w:val="009F38E5"/>
    <w:rsid w:val="009F3995"/>
    <w:rsid w:val="009F3AD6"/>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166A"/>
    <w:rsid w:val="00A21BB0"/>
    <w:rsid w:val="00A2213E"/>
    <w:rsid w:val="00A223C9"/>
    <w:rsid w:val="00A22564"/>
    <w:rsid w:val="00A22629"/>
    <w:rsid w:val="00A2298D"/>
    <w:rsid w:val="00A22C91"/>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554"/>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C05"/>
    <w:rsid w:val="00AE1C12"/>
    <w:rsid w:val="00AE3718"/>
    <w:rsid w:val="00AE38EC"/>
    <w:rsid w:val="00AE39DB"/>
    <w:rsid w:val="00AE3A63"/>
    <w:rsid w:val="00AE3C08"/>
    <w:rsid w:val="00AE3F89"/>
    <w:rsid w:val="00AE4021"/>
    <w:rsid w:val="00AE413E"/>
    <w:rsid w:val="00AE4314"/>
    <w:rsid w:val="00AE4E92"/>
    <w:rsid w:val="00AE4EA7"/>
    <w:rsid w:val="00AE5077"/>
    <w:rsid w:val="00AE5204"/>
    <w:rsid w:val="00AE52F2"/>
    <w:rsid w:val="00AE53C9"/>
    <w:rsid w:val="00AE5609"/>
    <w:rsid w:val="00AE572E"/>
    <w:rsid w:val="00AE5C0F"/>
    <w:rsid w:val="00AE5C98"/>
    <w:rsid w:val="00AE5E8E"/>
    <w:rsid w:val="00AE613F"/>
    <w:rsid w:val="00AE688F"/>
    <w:rsid w:val="00AE6897"/>
    <w:rsid w:val="00AE6AC5"/>
    <w:rsid w:val="00AE6B98"/>
    <w:rsid w:val="00AE6C75"/>
    <w:rsid w:val="00AE6ED8"/>
    <w:rsid w:val="00AE6F56"/>
    <w:rsid w:val="00AE7256"/>
    <w:rsid w:val="00AE7437"/>
    <w:rsid w:val="00AE7488"/>
    <w:rsid w:val="00AE7AC0"/>
    <w:rsid w:val="00AE7F7E"/>
    <w:rsid w:val="00AF0129"/>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6D56"/>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1E0E"/>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60C7"/>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B11"/>
    <w:rsid w:val="00B33D29"/>
    <w:rsid w:val="00B33FFA"/>
    <w:rsid w:val="00B34292"/>
    <w:rsid w:val="00B34979"/>
    <w:rsid w:val="00B35073"/>
    <w:rsid w:val="00B35205"/>
    <w:rsid w:val="00B3550D"/>
    <w:rsid w:val="00B355EC"/>
    <w:rsid w:val="00B35769"/>
    <w:rsid w:val="00B35B70"/>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B9A"/>
    <w:rsid w:val="00B45EDE"/>
    <w:rsid w:val="00B460B8"/>
    <w:rsid w:val="00B4646D"/>
    <w:rsid w:val="00B4647C"/>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22E"/>
    <w:rsid w:val="00B63A10"/>
    <w:rsid w:val="00B63C34"/>
    <w:rsid w:val="00B63CC2"/>
    <w:rsid w:val="00B63E4F"/>
    <w:rsid w:val="00B6414B"/>
    <w:rsid w:val="00B6455E"/>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328E"/>
    <w:rsid w:val="00B8349A"/>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92F"/>
    <w:rsid w:val="00BA49A3"/>
    <w:rsid w:val="00BA4EC8"/>
    <w:rsid w:val="00BA4F35"/>
    <w:rsid w:val="00BA5719"/>
    <w:rsid w:val="00BA5855"/>
    <w:rsid w:val="00BA5AEA"/>
    <w:rsid w:val="00BA5B8C"/>
    <w:rsid w:val="00BA5CF7"/>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4DC8"/>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622"/>
    <w:rsid w:val="00BD66FE"/>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F4"/>
    <w:rsid w:val="00BF7B90"/>
    <w:rsid w:val="00BF7C4C"/>
    <w:rsid w:val="00BF7E8D"/>
    <w:rsid w:val="00C0041D"/>
    <w:rsid w:val="00C004D0"/>
    <w:rsid w:val="00C006B8"/>
    <w:rsid w:val="00C009F8"/>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A05"/>
    <w:rsid w:val="00C51E88"/>
    <w:rsid w:val="00C522BD"/>
    <w:rsid w:val="00C5241D"/>
    <w:rsid w:val="00C52B20"/>
    <w:rsid w:val="00C52B66"/>
    <w:rsid w:val="00C53059"/>
    <w:rsid w:val="00C5378D"/>
    <w:rsid w:val="00C53926"/>
    <w:rsid w:val="00C5398B"/>
    <w:rsid w:val="00C53E45"/>
    <w:rsid w:val="00C541DB"/>
    <w:rsid w:val="00C544E8"/>
    <w:rsid w:val="00C54FF7"/>
    <w:rsid w:val="00C55016"/>
    <w:rsid w:val="00C55437"/>
    <w:rsid w:val="00C557CA"/>
    <w:rsid w:val="00C559D2"/>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38"/>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156"/>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61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675"/>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4A5C"/>
    <w:rsid w:val="00CF5834"/>
    <w:rsid w:val="00CF586A"/>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E26"/>
    <w:rsid w:val="00D2105D"/>
    <w:rsid w:val="00D21290"/>
    <w:rsid w:val="00D21549"/>
    <w:rsid w:val="00D215C1"/>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5DC"/>
    <w:rsid w:val="00D3276B"/>
    <w:rsid w:val="00D327BD"/>
    <w:rsid w:val="00D32AF4"/>
    <w:rsid w:val="00D32DDA"/>
    <w:rsid w:val="00D3300B"/>
    <w:rsid w:val="00D33489"/>
    <w:rsid w:val="00D33690"/>
    <w:rsid w:val="00D337B3"/>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8D2"/>
    <w:rsid w:val="00D47A4A"/>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EEC"/>
    <w:rsid w:val="00D66F79"/>
    <w:rsid w:val="00D67275"/>
    <w:rsid w:val="00D678FA"/>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19DB"/>
    <w:rsid w:val="00D92020"/>
    <w:rsid w:val="00D9218C"/>
    <w:rsid w:val="00D92285"/>
    <w:rsid w:val="00D92527"/>
    <w:rsid w:val="00D9282D"/>
    <w:rsid w:val="00D92ABA"/>
    <w:rsid w:val="00D92DB4"/>
    <w:rsid w:val="00D92E75"/>
    <w:rsid w:val="00D931A5"/>
    <w:rsid w:val="00D931C8"/>
    <w:rsid w:val="00D93819"/>
    <w:rsid w:val="00D93C99"/>
    <w:rsid w:val="00D93F2F"/>
    <w:rsid w:val="00D9407B"/>
    <w:rsid w:val="00D94214"/>
    <w:rsid w:val="00D943DA"/>
    <w:rsid w:val="00D944C8"/>
    <w:rsid w:val="00D947A2"/>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722"/>
    <w:rsid w:val="00DA6DFC"/>
    <w:rsid w:val="00DA6E7E"/>
    <w:rsid w:val="00DA7058"/>
    <w:rsid w:val="00DA714E"/>
    <w:rsid w:val="00DA7265"/>
    <w:rsid w:val="00DA751E"/>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35"/>
    <w:rsid w:val="00DE47B2"/>
    <w:rsid w:val="00DE4A19"/>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BC3"/>
    <w:rsid w:val="00DF0FAE"/>
    <w:rsid w:val="00DF0FE7"/>
    <w:rsid w:val="00DF1233"/>
    <w:rsid w:val="00DF140C"/>
    <w:rsid w:val="00DF16B3"/>
    <w:rsid w:val="00DF18AC"/>
    <w:rsid w:val="00DF1B3C"/>
    <w:rsid w:val="00DF1E07"/>
    <w:rsid w:val="00DF2704"/>
    <w:rsid w:val="00DF2825"/>
    <w:rsid w:val="00DF34D4"/>
    <w:rsid w:val="00DF35C3"/>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D4"/>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6F4"/>
    <w:rsid w:val="00E378B6"/>
    <w:rsid w:val="00E37A6F"/>
    <w:rsid w:val="00E37CE9"/>
    <w:rsid w:val="00E40088"/>
    <w:rsid w:val="00E4036D"/>
    <w:rsid w:val="00E41A46"/>
    <w:rsid w:val="00E41F8E"/>
    <w:rsid w:val="00E42396"/>
    <w:rsid w:val="00E42574"/>
    <w:rsid w:val="00E425E2"/>
    <w:rsid w:val="00E4286A"/>
    <w:rsid w:val="00E429FF"/>
    <w:rsid w:val="00E42C70"/>
    <w:rsid w:val="00E432A5"/>
    <w:rsid w:val="00E43365"/>
    <w:rsid w:val="00E436FA"/>
    <w:rsid w:val="00E43732"/>
    <w:rsid w:val="00E43BE9"/>
    <w:rsid w:val="00E44670"/>
    <w:rsid w:val="00E44C97"/>
    <w:rsid w:val="00E44D3C"/>
    <w:rsid w:val="00E44F3D"/>
    <w:rsid w:val="00E4563B"/>
    <w:rsid w:val="00E456EE"/>
    <w:rsid w:val="00E45D3A"/>
    <w:rsid w:val="00E45EB7"/>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9E5"/>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F7F"/>
    <w:rsid w:val="00E830CC"/>
    <w:rsid w:val="00E832B3"/>
    <w:rsid w:val="00E833E3"/>
    <w:rsid w:val="00E8356E"/>
    <w:rsid w:val="00E83C1B"/>
    <w:rsid w:val="00E83DA3"/>
    <w:rsid w:val="00E83DB6"/>
    <w:rsid w:val="00E83FD7"/>
    <w:rsid w:val="00E84100"/>
    <w:rsid w:val="00E8438B"/>
    <w:rsid w:val="00E8491F"/>
    <w:rsid w:val="00E849C4"/>
    <w:rsid w:val="00E852BB"/>
    <w:rsid w:val="00E85732"/>
    <w:rsid w:val="00E85BFB"/>
    <w:rsid w:val="00E85D36"/>
    <w:rsid w:val="00E8624E"/>
    <w:rsid w:val="00E869F1"/>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66"/>
    <w:rsid w:val="00EA642E"/>
    <w:rsid w:val="00EA674D"/>
    <w:rsid w:val="00EA684A"/>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40C2"/>
    <w:rsid w:val="00ED45CF"/>
    <w:rsid w:val="00ED486B"/>
    <w:rsid w:val="00ED5915"/>
    <w:rsid w:val="00ED59B1"/>
    <w:rsid w:val="00ED6123"/>
    <w:rsid w:val="00ED63AA"/>
    <w:rsid w:val="00ED6487"/>
    <w:rsid w:val="00ED65AE"/>
    <w:rsid w:val="00ED679B"/>
    <w:rsid w:val="00ED686C"/>
    <w:rsid w:val="00ED69A2"/>
    <w:rsid w:val="00ED6C50"/>
    <w:rsid w:val="00ED6D4E"/>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5CD"/>
    <w:rsid w:val="00EE6669"/>
    <w:rsid w:val="00EE6D84"/>
    <w:rsid w:val="00EE6F00"/>
    <w:rsid w:val="00EE76A2"/>
    <w:rsid w:val="00EE7F85"/>
    <w:rsid w:val="00EF0432"/>
    <w:rsid w:val="00EF079F"/>
    <w:rsid w:val="00EF084A"/>
    <w:rsid w:val="00EF0C88"/>
    <w:rsid w:val="00EF0DAB"/>
    <w:rsid w:val="00EF10EB"/>
    <w:rsid w:val="00EF10FA"/>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9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F51"/>
    <w:rsid w:val="00F8352B"/>
    <w:rsid w:val="00F83694"/>
    <w:rsid w:val="00F8379A"/>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DDA"/>
    <w:rsid w:val="00F90E05"/>
    <w:rsid w:val="00F90FF2"/>
    <w:rsid w:val="00F918D9"/>
    <w:rsid w:val="00F91E87"/>
    <w:rsid w:val="00F91ED2"/>
    <w:rsid w:val="00F91F11"/>
    <w:rsid w:val="00F91FE7"/>
    <w:rsid w:val="00F93738"/>
    <w:rsid w:val="00F93EE1"/>
    <w:rsid w:val="00F93EE5"/>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5D8"/>
    <w:rsid w:val="00FA7A34"/>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5BD"/>
    <w:rsid w:val="00FE17F5"/>
    <w:rsid w:val="00FE1856"/>
    <w:rsid w:val="00FE188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DAA"/>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8.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4.png"/><Relationship Id="rId38"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chart" Target="charts/chart21.xml"/><Relationship Id="rId40"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0.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2.emf"/><Relationship Id="rId35" Type="http://schemas.openxmlformats.org/officeDocument/2006/relationships/chart" Target="charts/chart19.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ntanderinnoventures.com/wp-content/uploads/2015/06/The-Fintech-2-0-Paper.pdf" TargetMode="External"/><Relationship Id="rId2" Type="http://schemas.openxmlformats.org/officeDocument/2006/relationships/hyperlink" Target="http://www.intage.co.jp/library/data/2017/03/intage_report20170303.pdf" TargetMode="External"/><Relationship Id="rId1" Type="http://schemas.openxmlformats.org/officeDocument/2006/relationships/hyperlink" Target="http://www.intage.co.jp/library/data/2017/03/intage_report20170303.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5388826507041894E-2"/>
                  <c:y val="-2.4809480935169669E-2"/>
                </c:manualLayout>
              </c:layout>
              <c:tx>
                <c:rich>
                  <a:bodyPr/>
                  <a:lstStyle/>
                  <a:p>
                    <a:r>
                      <a:rPr lang="en-US" altLang="en-US"/>
                      <a:t>-0.60 </a:t>
                    </a:r>
                  </a:p>
                </c:rich>
              </c:tx>
              <c:showLegendKey val="0"/>
              <c:showVal val="1"/>
              <c:showCatName val="0"/>
              <c:showSerName val="0"/>
              <c:showPercent val="0"/>
              <c:showBubbleSize val="0"/>
            </c:dLbl>
            <c:showLegendKey val="0"/>
            <c:showVal val="0"/>
            <c:showCatName val="0"/>
            <c:showSerName val="0"/>
            <c:showPercent val="0"/>
            <c:showBubbleSize val="0"/>
          </c:dLbls>
          <c:cat>
            <c:strRef>
              <c:f>Sheet1!$A$148:$A$212</c:f>
              <c:strCache>
                <c:ptCount val="65"/>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strCache>
            </c:strRef>
          </c:cat>
          <c:val>
            <c:numRef>
              <c:f>Sheet1!$C$148:$C$212</c:f>
              <c:numCache>
                <c:formatCode>0.00_ </c:formatCode>
                <c:ptCount val="65"/>
                <c:pt idx="0">
                  <c:v>0</c:v>
                </c:pt>
                <c:pt idx="1">
                  <c:v>5.0828504625388682E-2</c:v>
                </c:pt>
                <c:pt idx="2">
                  <c:v>5.0802682381623221E-2</c:v>
                </c:pt>
                <c:pt idx="3">
                  <c:v>-5.0776886361325602E-2</c:v>
                </c:pt>
                <c:pt idx="4">
                  <c:v>-0.11176590123957997</c:v>
                </c:pt>
                <c:pt idx="5">
                  <c:v>-0.13223476757195929</c:v>
                </c:pt>
                <c:pt idx="6">
                  <c:v>-0.13240985944185102</c:v>
                </c:pt>
                <c:pt idx="7">
                  <c:v>-2.0397756246803844E-2</c:v>
                </c:pt>
                <c:pt idx="8">
                  <c:v>0.11221054779149142</c:v>
                </c:pt>
                <c:pt idx="9">
                  <c:v>0.25473812920318029</c:v>
                </c:pt>
                <c:pt idx="10">
                  <c:v>0.37605447708100037</c:v>
                </c:pt>
                <c:pt idx="11">
                  <c:v>0.39489671931955961</c:v>
                </c:pt>
                <c:pt idx="12">
                  <c:v>0.34291477559251771</c:v>
                </c:pt>
                <c:pt idx="13">
                  <c:v>0.26133279726605618</c:v>
                </c:pt>
                <c:pt idx="14">
                  <c:v>0.19047619047618536</c:v>
                </c:pt>
                <c:pt idx="15">
                  <c:v>0.19011406844107182</c:v>
                </c:pt>
                <c:pt idx="16">
                  <c:v>0.15979227004894181</c:v>
                </c:pt>
                <c:pt idx="17">
                  <c:v>0.12962409013859144</c:v>
                </c:pt>
                <c:pt idx="18">
                  <c:v>0.18920533758215452</c:v>
                </c:pt>
                <c:pt idx="19">
                  <c:v>0.22860550641090605</c:v>
                </c:pt>
                <c:pt idx="20">
                  <c:v>0.25783419278062603</c:v>
                </c:pt>
                <c:pt idx="21">
                  <c:v>0.25717111770524603</c:v>
                </c:pt>
                <c:pt idx="22">
                  <c:v>0.256511444356744</c:v>
                </c:pt>
                <c:pt idx="23">
                  <c:v>0.28537689431213931</c:v>
                </c:pt>
                <c:pt idx="24">
                  <c:v>0.22568933372584254</c:v>
                </c:pt>
                <c:pt idx="25">
                  <c:v>0.18601918934795236</c:v>
                </c:pt>
                <c:pt idx="26">
                  <c:v>9.7723052868170512E-2</c:v>
                </c:pt>
                <c:pt idx="27">
                  <c:v>9.762764814991165E-3</c:v>
                </c:pt>
                <c:pt idx="28">
                  <c:v>-6.8332682545868551E-2</c:v>
                </c:pt>
                <c:pt idx="29">
                  <c:v>-7.814789489107854E-2</c:v>
                </c:pt>
                <c:pt idx="30">
                  <c:v>-7.8209013588825815E-2</c:v>
                </c:pt>
                <c:pt idx="31">
                  <c:v>-6.8486449466775845E-2</c:v>
                </c:pt>
                <c:pt idx="32">
                  <c:v>-8.8114352849033573E-2</c:v>
                </c:pt>
                <c:pt idx="33">
                  <c:v>-0.13718765311122594</c:v>
                </c:pt>
                <c:pt idx="34">
                  <c:v>-0.15700127563536004</c:v>
                </c:pt>
                <c:pt idx="35">
                  <c:v>-0.19656019656020263</c:v>
                </c:pt>
                <c:pt idx="36">
                  <c:v>-0.25603151157064241</c:v>
                </c:pt>
                <c:pt idx="37">
                  <c:v>-0.26656135847566986</c:v>
                </c:pt>
                <c:pt idx="38">
                  <c:v>-0.28707186695703379</c:v>
                </c:pt>
                <c:pt idx="39">
                  <c:v>-0.21840563883649411</c:v>
                </c:pt>
                <c:pt idx="40">
                  <c:v>-0.12934036414288252</c:v>
                </c:pt>
                <c:pt idx="41">
                  <c:v>-9.9621438533570306E-2</c:v>
                </c:pt>
                <c:pt idx="42">
                  <c:v>-0.10969285999201661</c:v>
                </c:pt>
                <c:pt idx="43">
                  <c:v>-9.9830288509539233E-2</c:v>
                </c:pt>
                <c:pt idx="44">
                  <c:v>-0.13990206855200027</c:v>
                </c:pt>
                <c:pt idx="45">
                  <c:v>-0.2501751225858051</c:v>
                </c:pt>
                <c:pt idx="46">
                  <c:v>-0.3711878009630909</c:v>
                </c:pt>
                <c:pt idx="47">
                  <c:v>-0.46319605276408105</c:v>
                </c:pt>
                <c:pt idx="48">
                  <c:v>-0.44511886697015113</c:v>
                </c:pt>
                <c:pt idx="49">
                  <c:v>-0.29468549944110523</c:v>
                </c:pt>
                <c:pt idx="50">
                  <c:v>1.0191602119835608E-2</c:v>
                </c:pt>
                <c:pt idx="51">
                  <c:v>0.30571690614491498</c:v>
                </c:pt>
                <c:pt idx="52">
                  <c:v>0.64004876562022694</c:v>
                </c:pt>
                <c:pt idx="53">
                  <c:v>0.80759135877246369</c:v>
                </c:pt>
                <c:pt idx="54">
                  <c:v>0.82114960945323112</c:v>
                </c:pt>
                <c:pt idx="55">
                  <c:v>0.66547477155343149</c:v>
                </c:pt>
                <c:pt idx="56">
                  <c:v>0.44400592007893813</c:v>
                </c:pt>
                <c:pt idx="57">
                  <c:v>0.23575638506876384</c:v>
                </c:pt>
                <c:pt idx="58">
                  <c:v>8.820070560562332E-2</c:v>
                </c:pt>
                <c:pt idx="59">
                  <c:v>-3.9165769117788241E-2</c:v>
                </c:pt>
                <c:pt idx="60">
                  <c:v>-0.18611029483788233</c:v>
                </c:pt>
                <c:pt idx="61">
                  <c:v>-0.3729146221786106</c:v>
                </c:pt>
                <c:pt idx="62">
                  <c:v>-0.49251379038612875</c:v>
                </c:pt>
                <c:pt idx="63">
                  <c:v>-0.57414373391407869</c:v>
                </c:pt>
                <c:pt idx="64">
                  <c:v>-0.59737156511349143</c:v>
                </c:pt>
              </c:numCache>
            </c:numRef>
          </c:val>
        </c:ser>
        <c:dLbls>
          <c:showLegendKey val="0"/>
          <c:showVal val="0"/>
          <c:showCatName val="0"/>
          <c:showSerName val="0"/>
          <c:showPercent val="0"/>
          <c:showBubbleSize val="0"/>
        </c:dLbls>
        <c:gapWidth val="150"/>
        <c:axId val="161373568"/>
        <c:axId val="1613876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2064938963397073E-2"/>
                  <c:y val="-1.4916862449915191E-2"/>
                </c:manualLayout>
              </c:layout>
              <c:tx>
                <c:rich>
                  <a:bodyPr/>
                  <a:lstStyle/>
                  <a:p>
                    <a:r>
                      <a:rPr lang="en-US" altLang="en-US"/>
                      <a:t>99.84</a:t>
                    </a:r>
                  </a:p>
                </c:rich>
              </c:tx>
              <c:showLegendKey val="0"/>
              <c:showVal val="1"/>
              <c:showCatName val="0"/>
              <c:showSerName val="0"/>
              <c:showPercent val="0"/>
              <c:showBubbleSize val="0"/>
            </c:dLbl>
            <c:showLegendKey val="0"/>
            <c:showVal val="0"/>
            <c:showCatName val="0"/>
            <c:showSerName val="0"/>
            <c:showPercent val="0"/>
            <c:showBubbleSize val="0"/>
          </c:dLbls>
          <c:cat>
            <c:strRef>
              <c:f>Sheet1!$A$148:$A$212</c:f>
              <c:strCache>
                <c:ptCount val="65"/>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strCache>
            </c:strRef>
          </c:cat>
          <c:val>
            <c:numRef>
              <c:f>Sheet1!$B$148:$B$212</c:f>
              <c:numCache>
                <c:formatCode>General</c:formatCode>
                <c:ptCount val="65"/>
                <c:pt idx="0">
                  <c:v>98.37</c:v>
                </c:pt>
                <c:pt idx="1">
                  <c:v>98.42</c:v>
                </c:pt>
                <c:pt idx="2">
                  <c:v>98.47</c:v>
                </c:pt>
                <c:pt idx="3">
                  <c:v>98.42</c:v>
                </c:pt>
                <c:pt idx="4">
                  <c:v>98.31</c:v>
                </c:pt>
                <c:pt idx="5">
                  <c:v>98.18</c:v>
                </c:pt>
                <c:pt idx="6">
                  <c:v>98.05</c:v>
                </c:pt>
                <c:pt idx="7">
                  <c:v>98.03</c:v>
                </c:pt>
                <c:pt idx="8">
                  <c:v>98.14</c:v>
                </c:pt>
                <c:pt idx="9">
                  <c:v>98.39</c:v>
                </c:pt>
                <c:pt idx="10">
                  <c:v>98.76</c:v>
                </c:pt>
                <c:pt idx="11">
                  <c:v>99.15</c:v>
                </c:pt>
                <c:pt idx="12">
                  <c:v>99.49</c:v>
                </c:pt>
                <c:pt idx="13">
                  <c:v>99.75</c:v>
                </c:pt>
                <c:pt idx="14">
                  <c:v>99.94</c:v>
                </c:pt>
                <c:pt idx="15">
                  <c:v>100.13</c:v>
                </c:pt>
                <c:pt idx="16">
                  <c:v>100.29</c:v>
                </c:pt>
                <c:pt idx="17">
                  <c:v>100.42</c:v>
                </c:pt>
                <c:pt idx="18">
                  <c:v>100.61</c:v>
                </c:pt>
                <c:pt idx="19">
                  <c:v>100.84</c:v>
                </c:pt>
                <c:pt idx="20">
                  <c:v>101.1</c:v>
                </c:pt>
                <c:pt idx="21">
                  <c:v>101.36</c:v>
                </c:pt>
                <c:pt idx="22">
                  <c:v>101.62</c:v>
                </c:pt>
                <c:pt idx="23">
                  <c:v>101.91</c:v>
                </c:pt>
                <c:pt idx="24">
                  <c:v>102.14</c:v>
                </c:pt>
                <c:pt idx="25">
                  <c:v>102.33</c:v>
                </c:pt>
                <c:pt idx="26">
                  <c:v>102.43</c:v>
                </c:pt>
                <c:pt idx="27">
                  <c:v>102.44</c:v>
                </c:pt>
                <c:pt idx="28">
                  <c:v>102.37</c:v>
                </c:pt>
                <c:pt idx="29">
                  <c:v>102.29</c:v>
                </c:pt>
                <c:pt idx="30">
                  <c:v>102.21</c:v>
                </c:pt>
                <c:pt idx="31">
                  <c:v>102.14</c:v>
                </c:pt>
                <c:pt idx="32">
                  <c:v>102.05</c:v>
                </c:pt>
                <c:pt idx="33">
                  <c:v>101.91</c:v>
                </c:pt>
                <c:pt idx="34">
                  <c:v>101.75</c:v>
                </c:pt>
                <c:pt idx="35">
                  <c:v>101.55</c:v>
                </c:pt>
                <c:pt idx="36">
                  <c:v>101.29</c:v>
                </c:pt>
                <c:pt idx="37">
                  <c:v>101.02</c:v>
                </c:pt>
                <c:pt idx="38">
                  <c:v>100.73</c:v>
                </c:pt>
                <c:pt idx="39">
                  <c:v>100.51</c:v>
                </c:pt>
                <c:pt idx="40">
                  <c:v>100.38</c:v>
                </c:pt>
                <c:pt idx="41">
                  <c:v>100.28</c:v>
                </c:pt>
                <c:pt idx="42">
                  <c:v>100.17</c:v>
                </c:pt>
                <c:pt idx="43">
                  <c:v>100.07</c:v>
                </c:pt>
                <c:pt idx="44">
                  <c:v>99.93</c:v>
                </c:pt>
                <c:pt idx="45">
                  <c:v>99.68</c:v>
                </c:pt>
                <c:pt idx="46">
                  <c:v>99.31</c:v>
                </c:pt>
                <c:pt idx="47">
                  <c:v>98.85</c:v>
                </c:pt>
                <c:pt idx="48">
                  <c:v>98.41</c:v>
                </c:pt>
                <c:pt idx="49">
                  <c:v>98.12</c:v>
                </c:pt>
                <c:pt idx="50">
                  <c:v>98.13</c:v>
                </c:pt>
                <c:pt idx="51">
                  <c:v>98.43</c:v>
                </c:pt>
                <c:pt idx="52">
                  <c:v>99.06</c:v>
                </c:pt>
                <c:pt idx="53">
                  <c:v>99.86</c:v>
                </c:pt>
                <c:pt idx="54">
                  <c:v>100.68</c:v>
                </c:pt>
                <c:pt idx="55">
                  <c:v>101.35</c:v>
                </c:pt>
                <c:pt idx="56">
                  <c:v>101.8</c:v>
                </c:pt>
                <c:pt idx="57">
                  <c:v>102.04</c:v>
                </c:pt>
                <c:pt idx="58">
                  <c:v>102.13</c:v>
                </c:pt>
                <c:pt idx="59">
                  <c:v>102.09</c:v>
                </c:pt>
                <c:pt idx="60">
                  <c:v>101.9</c:v>
                </c:pt>
                <c:pt idx="61">
                  <c:v>101.52</c:v>
                </c:pt>
                <c:pt idx="62">
                  <c:v>101.02</c:v>
                </c:pt>
                <c:pt idx="63">
                  <c:v>100.44</c:v>
                </c:pt>
                <c:pt idx="64">
                  <c:v>99.84</c:v>
                </c:pt>
              </c:numCache>
            </c:numRef>
          </c:val>
          <c:smooth val="0"/>
        </c:ser>
        <c:dLbls>
          <c:showLegendKey val="0"/>
          <c:showVal val="0"/>
          <c:showCatName val="0"/>
          <c:showSerName val="0"/>
          <c:showPercent val="0"/>
          <c:showBubbleSize val="0"/>
        </c:dLbls>
        <c:marker val="1"/>
        <c:smooth val="0"/>
        <c:axId val="161361280"/>
        <c:axId val="161371648"/>
      </c:lineChart>
      <c:catAx>
        <c:axId val="1613612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61371648"/>
        <c:crossesAt val="60"/>
        <c:auto val="0"/>
        <c:lblAlgn val="ctr"/>
        <c:lblOffset val="100"/>
        <c:tickLblSkip val="2"/>
        <c:tickMarkSkip val="1"/>
        <c:noMultiLvlLbl val="0"/>
      </c:catAx>
      <c:valAx>
        <c:axId val="1613716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1361280"/>
        <c:crosses val="autoZero"/>
        <c:crossBetween val="between"/>
        <c:majorUnit val="10"/>
        <c:minorUnit val="5"/>
      </c:valAx>
      <c:catAx>
        <c:axId val="161373568"/>
        <c:scaling>
          <c:orientation val="minMax"/>
        </c:scaling>
        <c:delete val="1"/>
        <c:axPos val="b"/>
        <c:majorTickMark val="out"/>
        <c:minorTickMark val="none"/>
        <c:tickLblPos val="nextTo"/>
        <c:crossAx val="161387648"/>
        <c:crosses val="autoZero"/>
        <c:auto val="0"/>
        <c:lblAlgn val="ctr"/>
        <c:lblOffset val="100"/>
        <c:noMultiLvlLbl val="0"/>
      </c:catAx>
      <c:valAx>
        <c:axId val="16138764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13735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192396288"/>
        <c:axId val="19248819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192489728"/>
        <c:axId val="192495616"/>
      </c:lineChart>
      <c:catAx>
        <c:axId val="19239628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92488192"/>
        <c:crosses val="autoZero"/>
        <c:auto val="0"/>
        <c:lblAlgn val="ctr"/>
        <c:lblOffset val="100"/>
        <c:tickLblSkip val="3"/>
        <c:tickMarkSkip val="3"/>
        <c:noMultiLvlLbl val="1"/>
      </c:catAx>
      <c:valAx>
        <c:axId val="19248819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2396288"/>
        <c:crosses val="autoZero"/>
        <c:crossBetween val="midCat"/>
        <c:majorUnit val="2"/>
        <c:minorUnit val="2"/>
      </c:valAx>
      <c:catAx>
        <c:axId val="192489728"/>
        <c:scaling>
          <c:orientation val="minMax"/>
        </c:scaling>
        <c:delete val="1"/>
        <c:axPos val="b"/>
        <c:majorTickMark val="out"/>
        <c:minorTickMark val="none"/>
        <c:tickLblPos val="nextTo"/>
        <c:crossAx val="192495616"/>
        <c:crossesAt val="13"/>
        <c:auto val="1"/>
        <c:lblAlgn val="ctr"/>
        <c:lblOffset val="100"/>
        <c:noMultiLvlLbl val="0"/>
      </c:catAx>
      <c:valAx>
        <c:axId val="192495616"/>
        <c:scaling>
          <c:orientation val="minMax"/>
          <c:max val="32"/>
          <c:min val="20"/>
        </c:scaling>
        <c:delete val="1"/>
        <c:axPos val="r"/>
        <c:numFmt formatCode="General" sourceLinked="1"/>
        <c:majorTickMark val="in"/>
        <c:minorTickMark val="none"/>
        <c:tickLblPos val="nextTo"/>
        <c:crossAx val="192489728"/>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192516480"/>
        <c:axId val="19251801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192519552"/>
        <c:axId val="192529536"/>
      </c:lineChart>
      <c:catAx>
        <c:axId val="19251648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92518016"/>
        <c:crosses val="autoZero"/>
        <c:auto val="0"/>
        <c:lblAlgn val="ctr"/>
        <c:lblOffset val="100"/>
        <c:tickLblSkip val="3"/>
        <c:tickMarkSkip val="3"/>
        <c:noMultiLvlLbl val="1"/>
      </c:catAx>
      <c:valAx>
        <c:axId val="192518016"/>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2516480"/>
        <c:crosses val="autoZero"/>
        <c:crossBetween val="midCat"/>
        <c:majorUnit val="2"/>
        <c:minorUnit val="2"/>
      </c:valAx>
      <c:catAx>
        <c:axId val="192519552"/>
        <c:scaling>
          <c:orientation val="minMax"/>
        </c:scaling>
        <c:delete val="1"/>
        <c:axPos val="b"/>
        <c:majorTickMark val="out"/>
        <c:minorTickMark val="none"/>
        <c:tickLblPos val="nextTo"/>
        <c:crossAx val="192529536"/>
        <c:crossesAt val="13"/>
        <c:auto val="1"/>
        <c:lblAlgn val="ctr"/>
        <c:lblOffset val="100"/>
        <c:noMultiLvlLbl val="0"/>
      </c:catAx>
      <c:valAx>
        <c:axId val="192529536"/>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2519552"/>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貨幣!$A$105:$B$157</c:f>
              <c:multiLvlStrCache>
                <c:ptCount val="5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lvl>
                <c:lvl>
                  <c:pt idx="0">
                    <c:v>102年</c:v>
                  </c:pt>
                  <c:pt idx="12">
                    <c:v>103年</c:v>
                  </c:pt>
                  <c:pt idx="24">
                    <c:v>104年</c:v>
                  </c:pt>
                  <c:pt idx="36">
                    <c:v>105年</c:v>
                  </c:pt>
                  <c:pt idx="48">
                    <c:v>106年</c:v>
                  </c:pt>
                </c:lvl>
              </c:multiLvlStrCache>
            </c:multiLvlStrRef>
          </c:cat>
          <c:val>
            <c:numRef>
              <c:f>貨幣!$C$105:$C$157</c:f>
              <c:numCache>
                <c:formatCode>General</c:formatCode>
                <c:ptCount val="53"/>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pt idx="51">
                  <c:v>4384.26</c:v>
                </c:pt>
                <c:pt idx="52">
                  <c:v>4384.26</c:v>
                </c:pt>
              </c:numCache>
            </c:numRef>
          </c:val>
        </c:ser>
        <c:dLbls>
          <c:showLegendKey val="0"/>
          <c:showVal val="0"/>
          <c:showCatName val="0"/>
          <c:showSerName val="0"/>
          <c:showPercent val="0"/>
          <c:showBubbleSize val="0"/>
        </c:dLbls>
        <c:gapWidth val="50"/>
        <c:axId val="192236544"/>
        <c:axId val="192303872"/>
      </c:barChart>
      <c:catAx>
        <c:axId val="19223654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2303872"/>
        <c:crosses val="autoZero"/>
        <c:auto val="1"/>
        <c:lblAlgn val="ctr"/>
        <c:lblOffset val="100"/>
        <c:tickLblSkip val="2"/>
        <c:tickMarkSkip val="2"/>
        <c:noMultiLvlLbl val="1"/>
      </c:catAx>
      <c:valAx>
        <c:axId val="19230387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9223654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工作表1!$B$61:$C$125</c:f>
              <c:multiLvlStrCache>
                <c:ptCount val="65"/>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lvl>
                <c:lvl>
                  <c:pt idx="0">
                    <c:v>101年</c:v>
                  </c:pt>
                  <c:pt idx="12">
                    <c:v>102年</c:v>
                  </c:pt>
                  <c:pt idx="24">
                    <c:v>103年</c:v>
                  </c:pt>
                  <c:pt idx="36">
                    <c:v>104年</c:v>
                  </c:pt>
                  <c:pt idx="48">
                    <c:v>105年</c:v>
                  </c:pt>
                  <c:pt idx="60">
                    <c:v>106年</c:v>
                  </c:pt>
                </c:lvl>
              </c:multiLvlStrCache>
            </c:multiLvlStrRef>
          </c:cat>
          <c:val>
            <c:numRef>
              <c:f>工作表1!$A$61:$A$125</c:f>
              <c:numCache>
                <c:formatCode>#,##0.00</c:formatCode>
                <c:ptCount val="65"/>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pt idx="63">
                  <c:v>9801.3700000000008</c:v>
                </c:pt>
                <c:pt idx="64">
                  <c:v>9801.3700000000008</c:v>
                </c:pt>
              </c:numCache>
            </c:numRef>
          </c:val>
          <c:smooth val="0"/>
        </c:ser>
        <c:dLbls>
          <c:showLegendKey val="0"/>
          <c:showVal val="0"/>
          <c:showCatName val="0"/>
          <c:showSerName val="0"/>
          <c:showPercent val="0"/>
          <c:showBubbleSize val="0"/>
        </c:dLbls>
        <c:marker val="1"/>
        <c:smooth val="0"/>
        <c:axId val="192705664"/>
        <c:axId val="192707200"/>
      </c:lineChart>
      <c:catAx>
        <c:axId val="19270566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92707200"/>
        <c:crossesAt val="5000"/>
        <c:auto val="1"/>
        <c:lblAlgn val="ctr"/>
        <c:lblOffset val="50"/>
        <c:tickLblSkip val="3"/>
        <c:tickMarkSkip val="3"/>
        <c:noMultiLvlLbl val="1"/>
      </c:catAx>
      <c:valAx>
        <c:axId val="192707200"/>
        <c:scaling>
          <c:orientation val="minMax"/>
          <c:max val="10500"/>
          <c:min val="4500"/>
        </c:scaling>
        <c:delete val="0"/>
        <c:axPos val="l"/>
        <c:numFmt formatCode="#,##0_);[Red]\(#,##0\)" sourceLinked="0"/>
        <c:majorTickMark val="out"/>
        <c:minorTickMark val="none"/>
        <c:tickLblPos val="nextTo"/>
        <c:spPr>
          <a:ln w="28575"/>
        </c:spPr>
        <c:crossAx val="19270566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2008</c:v>
                </c:pt>
                <c:pt idx="1">
                  <c:v>2009</c:v>
                </c:pt>
                <c:pt idx="2">
                  <c:v>2010</c:v>
                </c:pt>
                <c:pt idx="3">
                  <c:v>2011</c:v>
                </c:pt>
                <c:pt idx="4">
                  <c:v>2012</c:v>
                </c:pt>
                <c:pt idx="5">
                  <c:v>2013</c:v>
                </c:pt>
                <c:pt idx="6">
                  <c:v>2014</c:v>
                </c:pt>
                <c:pt idx="7">
                  <c:v>2015</c:v>
                </c:pt>
                <c:pt idx="8">
                  <c:v>2016</c:v>
                </c:pt>
                <c:pt idx="9">
                  <c:v>2017(1-5月)</c:v>
                </c:pt>
              </c:strCache>
            </c:str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203718</c:v>
                </c:pt>
              </c:numCache>
            </c:numRef>
          </c:val>
        </c:ser>
        <c:dLbls>
          <c:showLegendKey val="0"/>
          <c:showVal val="0"/>
          <c:showCatName val="0"/>
          <c:showSerName val="0"/>
          <c:showPercent val="0"/>
          <c:showBubbleSize val="0"/>
        </c:dLbls>
        <c:gapWidth val="150"/>
        <c:axId val="192668800"/>
        <c:axId val="19267072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2008</c:v>
                </c:pt>
                <c:pt idx="1">
                  <c:v>2009</c:v>
                </c:pt>
                <c:pt idx="2">
                  <c:v>2010</c:v>
                </c:pt>
                <c:pt idx="3">
                  <c:v>2011</c:v>
                </c:pt>
                <c:pt idx="4">
                  <c:v>2012</c:v>
                </c:pt>
                <c:pt idx="5">
                  <c:v>2013</c:v>
                </c:pt>
                <c:pt idx="6">
                  <c:v>2014</c:v>
                </c:pt>
                <c:pt idx="7">
                  <c:v>2015</c:v>
                </c:pt>
                <c:pt idx="8">
                  <c:v>2016</c:v>
                </c:pt>
                <c:pt idx="9">
                  <c:v>2017(1-5月)</c:v>
                </c:pt>
              </c:strCache>
            </c:str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8.6</c:v>
                </c:pt>
              </c:numCache>
            </c:numRef>
          </c:val>
          <c:smooth val="0"/>
        </c:ser>
        <c:dLbls>
          <c:showLegendKey val="0"/>
          <c:showVal val="0"/>
          <c:showCatName val="0"/>
          <c:showSerName val="0"/>
          <c:showPercent val="0"/>
          <c:showBubbleSize val="0"/>
        </c:dLbls>
        <c:marker val="1"/>
        <c:smooth val="0"/>
        <c:axId val="192897792"/>
        <c:axId val="192899712"/>
      </c:lineChart>
      <c:catAx>
        <c:axId val="19266880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92670720"/>
        <c:crossesAt val="0"/>
        <c:auto val="0"/>
        <c:lblAlgn val="ctr"/>
        <c:lblOffset val="100"/>
        <c:tickMarkSkip val="1"/>
        <c:noMultiLvlLbl val="0"/>
      </c:catAx>
      <c:valAx>
        <c:axId val="19267072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92668800"/>
        <c:crosses val="autoZero"/>
        <c:crossBetween val="between"/>
      </c:valAx>
      <c:catAx>
        <c:axId val="19289779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92899712"/>
        <c:crosses val="autoZero"/>
        <c:auto val="0"/>
        <c:lblAlgn val="ctr"/>
        <c:lblOffset val="100"/>
        <c:noMultiLvlLbl val="0"/>
      </c:catAx>
      <c:valAx>
        <c:axId val="19289971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9289779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2017</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1-4</a:t>
            </a:r>
            <a:r>
              <a:rPr lang="zh-TW" altLang="en-US" sz="1001" b="1" i="0" u="none" strike="noStrike" baseline="0">
                <a:solidFill>
                  <a:sysClr val="windowText" lastClr="000000"/>
                </a:solidFill>
                <a:latin typeface="Times New Roman" pitchFamily="18" charset="0"/>
                <a:ea typeface="標楷體"/>
              </a:rPr>
              <a:t>月實際投資金額（非金融領域）比重</a:t>
            </a:r>
            <a:r>
              <a:rPr lang="en-US" altLang="zh-TW" sz="1001" b="1" i="0" u="none" strike="noStrike" baseline="0">
                <a:solidFill>
                  <a:sysClr val="windowText" lastClr="000000"/>
                </a:solidFill>
                <a:latin typeface="Times New Roman" pitchFamily="18" charset="0"/>
                <a:ea typeface="標楷體"/>
              </a:rPr>
              <a:t>94.2</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4784611225922342"/>
          <c:y val="1.1579050543993189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2017年1-4月實際投資金額（非金融領域）比重94.2%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312.0</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18.6 </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15.8 </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12.6 </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美國 </a:t>
                    </a:r>
                    <a:r>
                      <a:rPr lang="en-US" altLang="zh-TW"/>
                      <a:t>10.0</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荷蘭 </a:t>
                    </a:r>
                    <a:r>
                      <a:rPr lang="en-US" altLang="zh-TW"/>
                      <a:t>9.1</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韓國 </a:t>
                    </a:r>
                    <a:r>
                      <a:rPr lang="en-US" altLang="zh-TW"/>
                      <a:t>8.9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6.5</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5.1</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法國 </a:t>
                    </a:r>
                    <a:r>
                      <a:rPr lang="en-US" altLang="zh-TW"/>
                      <a:t>4.2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日本</c:v>
                </c:pt>
                <c:pt idx="4">
                  <c:v>美國</c:v>
                </c:pt>
                <c:pt idx="5">
                  <c:v>荷蘭</c:v>
                </c:pt>
                <c:pt idx="6">
                  <c:v>韓國</c:v>
                </c:pt>
                <c:pt idx="7">
                  <c:v>德國</c:v>
                </c:pt>
                <c:pt idx="8">
                  <c:v>英國</c:v>
                </c:pt>
                <c:pt idx="9">
                  <c:v>法國</c:v>
                </c:pt>
              </c:strCache>
            </c:strRef>
          </c:cat>
          <c:val>
            <c:numRef>
              <c:f>Sheet1!$C$3:$C$12</c:f>
              <c:numCache>
                <c:formatCode>0.0_ </c:formatCode>
                <c:ptCount val="10"/>
                <c:pt idx="0">
                  <c:v>312</c:v>
                </c:pt>
                <c:pt idx="1">
                  <c:v>18.600000000000001</c:v>
                </c:pt>
                <c:pt idx="2">
                  <c:v>15.8</c:v>
                </c:pt>
                <c:pt idx="3">
                  <c:v>12.6</c:v>
                </c:pt>
                <c:pt idx="4">
                  <c:v>10</c:v>
                </c:pt>
                <c:pt idx="5">
                  <c:v>9.1</c:v>
                </c:pt>
                <c:pt idx="6">
                  <c:v>8.9</c:v>
                </c:pt>
                <c:pt idx="7">
                  <c:v>6.5</c:v>
                </c:pt>
                <c:pt idx="8">
                  <c:v>5.0999999999999996</c:v>
                </c:pt>
                <c:pt idx="9">
                  <c:v>4.2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Sheet1!$D$11:$D$16</c:f>
              <c:strCache>
                <c:ptCount val="6"/>
                <c:pt idx="0">
                  <c:v>2012</c:v>
                </c:pt>
                <c:pt idx="1">
                  <c:v>2013</c:v>
                </c:pt>
                <c:pt idx="2">
                  <c:v>2014</c:v>
                </c:pt>
                <c:pt idx="3">
                  <c:v>2015</c:v>
                </c:pt>
                <c:pt idx="4">
                  <c:v>2016</c:v>
                </c:pt>
                <c:pt idx="5">
                  <c:v>2017.1-5</c:v>
                </c:pt>
              </c:strCache>
            </c:strRef>
          </c:cat>
          <c:val>
            <c:numRef>
              <c:f>Sheet1!$G$11:$G$16</c:f>
              <c:numCache>
                <c:formatCode>#,##0.00</c:formatCode>
                <c:ptCount val="6"/>
                <c:pt idx="0">
                  <c:v>20489.349999999999</c:v>
                </c:pt>
                <c:pt idx="1">
                  <c:v>22100.400000000001</c:v>
                </c:pt>
                <c:pt idx="2">
                  <c:v>23427.5</c:v>
                </c:pt>
                <c:pt idx="3">
                  <c:v>22765.7</c:v>
                </c:pt>
                <c:pt idx="4">
                  <c:v>20974.400000000001</c:v>
                </c:pt>
                <c:pt idx="5">
                  <c:v>8533.5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Sheet1!$D$11:$D$16</c:f>
              <c:strCache>
                <c:ptCount val="6"/>
                <c:pt idx="0">
                  <c:v>2012</c:v>
                </c:pt>
                <c:pt idx="1">
                  <c:v>2013</c:v>
                </c:pt>
                <c:pt idx="2">
                  <c:v>2014</c:v>
                </c:pt>
                <c:pt idx="3">
                  <c:v>2015</c:v>
                </c:pt>
                <c:pt idx="4">
                  <c:v>2016</c:v>
                </c:pt>
                <c:pt idx="5">
                  <c:v>2017.1-5</c:v>
                </c:pt>
              </c:strCache>
            </c:strRef>
          </c:cat>
          <c:val>
            <c:numRef>
              <c:f>Sheet1!$H$11:$H$16</c:f>
              <c:numCache>
                <c:formatCode>#,##0.00</c:formatCode>
                <c:ptCount val="6"/>
                <c:pt idx="0">
                  <c:v>18178.259999999998</c:v>
                </c:pt>
                <c:pt idx="1">
                  <c:v>19502.900000000001</c:v>
                </c:pt>
                <c:pt idx="2">
                  <c:v>19602.900000000001</c:v>
                </c:pt>
                <c:pt idx="3">
                  <c:v>16820.7</c:v>
                </c:pt>
                <c:pt idx="4">
                  <c:v>15874.8</c:v>
                </c:pt>
                <c:pt idx="5">
                  <c:v>7095.8</c:v>
                </c:pt>
              </c:numCache>
            </c:numRef>
          </c:val>
        </c:ser>
        <c:dLbls>
          <c:showLegendKey val="0"/>
          <c:showVal val="0"/>
          <c:showCatName val="0"/>
          <c:showSerName val="0"/>
          <c:showPercent val="0"/>
          <c:showBubbleSize val="0"/>
        </c:dLbls>
        <c:gapWidth val="150"/>
        <c:axId val="192427904"/>
        <c:axId val="19242944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2017.1-5</c:v>
                </c:pt>
              </c:strCache>
            </c:strRef>
          </c:cat>
          <c:val>
            <c:numRef>
              <c:f>Sheet1!$I$11:$I$16</c:f>
              <c:numCache>
                <c:formatCode>0.0_ </c:formatCode>
                <c:ptCount val="6"/>
                <c:pt idx="0" formatCode="General">
                  <c:v>7.9</c:v>
                </c:pt>
                <c:pt idx="1">
                  <c:v>7.9</c:v>
                </c:pt>
                <c:pt idx="2" formatCode="General">
                  <c:v>6.1</c:v>
                </c:pt>
                <c:pt idx="3" formatCode="General">
                  <c:v>-2.8</c:v>
                </c:pt>
                <c:pt idx="4" formatCode="General">
                  <c:v>-7.7</c:v>
                </c:pt>
                <c:pt idx="5" formatCode="General">
                  <c:v>8.1999999999999993</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2017.1-5</c:v>
                </c:pt>
              </c:strCache>
            </c:strRef>
          </c:cat>
          <c:val>
            <c:numRef>
              <c:f>Sheet1!$J$11:$J$16</c:f>
              <c:numCache>
                <c:formatCode>General</c:formatCode>
                <c:ptCount val="6"/>
                <c:pt idx="0">
                  <c:v>4.3</c:v>
                </c:pt>
                <c:pt idx="1">
                  <c:v>7.3</c:v>
                </c:pt>
                <c:pt idx="2">
                  <c:v>0.4</c:v>
                </c:pt>
                <c:pt idx="3">
                  <c:v>-14.1</c:v>
                </c:pt>
                <c:pt idx="4">
                  <c:v>-5.5</c:v>
                </c:pt>
                <c:pt idx="5" formatCode="0.0_ ">
                  <c:v>19.5</c:v>
                </c:pt>
              </c:numCache>
            </c:numRef>
          </c:val>
          <c:smooth val="0"/>
        </c:ser>
        <c:dLbls>
          <c:showLegendKey val="0"/>
          <c:showVal val="0"/>
          <c:showCatName val="0"/>
          <c:showSerName val="0"/>
          <c:showPercent val="0"/>
          <c:showBubbleSize val="0"/>
        </c:dLbls>
        <c:marker val="1"/>
        <c:smooth val="0"/>
        <c:axId val="192919424"/>
        <c:axId val="192920960"/>
      </c:lineChart>
      <c:catAx>
        <c:axId val="19242790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92429440"/>
        <c:crosses val="autoZero"/>
        <c:auto val="0"/>
        <c:lblAlgn val="l"/>
        <c:lblOffset val="100"/>
        <c:tickLblSkip val="1"/>
        <c:tickMarkSkip val="1"/>
        <c:noMultiLvlLbl val="0"/>
      </c:catAx>
      <c:valAx>
        <c:axId val="19242944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2427904"/>
        <c:crosses val="autoZero"/>
        <c:crossBetween val="between"/>
        <c:dispUnits>
          <c:builtInUnit val="thousands"/>
        </c:dispUnits>
      </c:valAx>
      <c:catAx>
        <c:axId val="192919424"/>
        <c:scaling>
          <c:orientation val="minMax"/>
        </c:scaling>
        <c:delete val="1"/>
        <c:axPos val="b"/>
        <c:numFmt formatCode="General" sourceLinked="1"/>
        <c:majorTickMark val="out"/>
        <c:minorTickMark val="none"/>
        <c:tickLblPos val="nextTo"/>
        <c:crossAx val="192920960"/>
        <c:crossesAt val="0"/>
        <c:auto val="0"/>
        <c:lblAlgn val="ctr"/>
        <c:lblOffset val="100"/>
        <c:noMultiLvlLbl val="0"/>
      </c:catAx>
      <c:valAx>
        <c:axId val="19292096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291942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12" b="1" i="0" u="none" strike="noStrike" baseline="0">
                <a:solidFill>
                  <a:srgbClr val="000000"/>
                </a:solidFill>
                <a:latin typeface="標楷體"/>
                <a:ea typeface="標楷體"/>
                <a:cs typeface="標楷體"/>
              </a:defRPr>
            </a:pPr>
            <a:r>
              <a:rPr lang="zh-TW" altLang="en-US" sz="1114"/>
              <a:t>我國對中國大陸出進口變動</a:t>
            </a:r>
          </a:p>
        </c:rich>
      </c:tx>
      <c:layout>
        <c:manualLayout>
          <c:xMode val="edge"/>
          <c:yMode val="edge"/>
          <c:x val="0.3408185648263708"/>
          <c:y val="1.4607144064073535E-2"/>
        </c:manualLayout>
      </c:layout>
      <c:overlay val="0"/>
      <c:spPr>
        <a:noFill/>
        <a:ln w="25713">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856">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Sheet1!$B$9:$B$14</c:f>
              <c:numCache>
                <c:formatCode>0.0_);[Red]\(0.0\)</c:formatCode>
                <c:ptCount val="6"/>
                <c:pt idx="0">
                  <c:v>1211.5999999999999</c:v>
                </c:pt>
                <c:pt idx="1">
                  <c:v>1253.0999999999999</c:v>
                </c:pt>
                <c:pt idx="2">
                  <c:v>1285.3</c:v>
                </c:pt>
                <c:pt idx="3">
                  <c:v>1125.4000000000001</c:v>
                </c:pt>
                <c:pt idx="4">
                  <c:v>1122.97</c:v>
                </c:pt>
                <c:pt idx="5">
                  <c:v>483.6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856">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Sheet1!$C$9:$C$14</c:f>
              <c:numCache>
                <c:formatCode>0.0_);[Red]\(0.0\)</c:formatCode>
                <c:ptCount val="6"/>
                <c:pt idx="0">
                  <c:v>440.2</c:v>
                </c:pt>
                <c:pt idx="1">
                  <c:v>449.3</c:v>
                </c:pt>
                <c:pt idx="2">
                  <c:v>509.9</c:v>
                </c:pt>
                <c:pt idx="3">
                  <c:v>467.3</c:v>
                </c:pt>
                <c:pt idx="4">
                  <c:v>453.28</c:v>
                </c:pt>
                <c:pt idx="5">
                  <c:v>198.8</c:v>
                </c:pt>
              </c:numCache>
            </c:numRef>
          </c:val>
        </c:ser>
        <c:dLbls>
          <c:showLegendKey val="0"/>
          <c:showVal val="0"/>
          <c:showCatName val="0"/>
          <c:showSerName val="0"/>
          <c:showPercent val="0"/>
          <c:showBubbleSize val="0"/>
        </c:dLbls>
        <c:gapWidth val="150"/>
        <c:axId val="192941056"/>
        <c:axId val="192947328"/>
      </c:barChart>
      <c:lineChart>
        <c:grouping val="standard"/>
        <c:varyColors val="0"/>
        <c:ser>
          <c:idx val="2"/>
          <c:order val="2"/>
          <c:tx>
            <c:strRef>
              <c:f>Sheet1!$D$1</c:f>
              <c:strCache>
                <c:ptCount val="1"/>
                <c:pt idx="0">
                  <c:v>出口成長率</c:v>
                </c:pt>
              </c:strCache>
            </c:strRef>
          </c:tx>
          <c:spPr>
            <a:ln w="38569">
              <a:solidFill>
                <a:srgbClr val="000000"/>
              </a:solidFill>
              <a:prstDash val="solid"/>
            </a:ln>
          </c:spPr>
          <c:marker>
            <c:symbol val="square"/>
            <c:size val="7"/>
            <c:spPr>
              <a:solidFill>
                <a:srgbClr val="333333"/>
              </a:solidFill>
              <a:ln>
                <a:solidFill>
                  <a:srgbClr val="80808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Sheet1!$D$9:$D$14</c:f>
              <c:numCache>
                <c:formatCode>0.0_ </c:formatCode>
                <c:ptCount val="6"/>
                <c:pt idx="0">
                  <c:v>-3.8</c:v>
                </c:pt>
                <c:pt idx="1">
                  <c:v>3.4</c:v>
                </c:pt>
                <c:pt idx="2">
                  <c:v>2.6</c:v>
                </c:pt>
                <c:pt idx="3">
                  <c:v>-12.4</c:v>
                </c:pt>
                <c:pt idx="4">
                  <c:v>-0.2</c:v>
                </c:pt>
                <c:pt idx="5">
                  <c:v>16</c:v>
                </c:pt>
              </c:numCache>
            </c:numRef>
          </c:val>
          <c:smooth val="0"/>
        </c:ser>
        <c:ser>
          <c:idx val="3"/>
          <c:order val="3"/>
          <c:tx>
            <c:strRef>
              <c:f>Sheet1!$E$1</c:f>
              <c:strCache>
                <c:ptCount val="1"/>
                <c:pt idx="0">
                  <c:v>進口成長率</c:v>
                </c:pt>
              </c:strCache>
            </c:strRef>
          </c:tx>
          <c:spPr>
            <a:ln w="25713">
              <a:solidFill>
                <a:srgbClr val="808080"/>
              </a:solidFill>
              <a:prstDash val="solid"/>
            </a:ln>
          </c:spPr>
          <c:marker>
            <c:symbol val="circle"/>
            <c:size val="6"/>
            <c:spPr>
              <a:solidFill>
                <a:srgbClr val="808080"/>
              </a:solidFill>
              <a:ln>
                <a:solidFill>
                  <a:srgbClr val="00000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Sheet1!$E$9:$E$14</c:f>
              <c:numCache>
                <c:formatCode>0.0_ </c:formatCode>
                <c:ptCount val="6"/>
                <c:pt idx="0">
                  <c:v>-3.6</c:v>
                </c:pt>
                <c:pt idx="1">
                  <c:v>2.1</c:v>
                </c:pt>
                <c:pt idx="2">
                  <c:v>13.5</c:v>
                </c:pt>
                <c:pt idx="3">
                  <c:v>-8.3000000000000007</c:v>
                </c:pt>
                <c:pt idx="4">
                  <c:v>-3</c:v>
                </c:pt>
                <c:pt idx="5">
                  <c:v>11.8</c:v>
                </c:pt>
              </c:numCache>
            </c:numRef>
          </c:val>
          <c:smooth val="0"/>
        </c:ser>
        <c:dLbls>
          <c:showLegendKey val="0"/>
          <c:showVal val="0"/>
          <c:showCatName val="0"/>
          <c:showSerName val="0"/>
          <c:showPercent val="0"/>
          <c:showBubbleSize val="0"/>
        </c:dLbls>
        <c:marker val="1"/>
        <c:smooth val="0"/>
        <c:axId val="192949248"/>
        <c:axId val="192951040"/>
      </c:lineChart>
      <c:catAx>
        <c:axId val="192941056"/>
        <c:scaling>
          <c:orientation val="minMax"/>
        </c:scaling>
        <c:delete val="0"/>
        <c:axPos val="b"/>
        <c:numFmt formatCode="General" sourceLinked="0"/>
        <c:majorTickMark val="in"/>
        <c:minorTickMark val="none"/>
        <c:tickLblPos val="nextTo"/>
        <c:spPr>
          <a:ln w="3214">
            <a:solidFill>
              <a:srgbClr val="000000"/>
            </a:solidFill>
            <a:prstDash val="solid"/>
          </a:ln>
        </c:spPr>
        <c:txPr>
          <a:bodyPr rot="0" vert="horz"/>
          <a:lstStyle/>
          <a:p>
            <a:pPr>
              <a:defRPr sz="911" b="0" i="0" u="none" strike="noStrike" baseline="0">
                <a:solidFill>
                  <a:srgbClr val="000000"/>
                </a:solidFill>
                <a:latin typeface="Times New Roman"/>
                <a:ea typeface="Times New Roman"/>
                <a:cs typeface="Times New Roman"/>
              </a:defRPr>
            </a:pPr>
            <a:endParaRPr lang="zh-TW"/>
          </a:p>
        </c:txPr>
        <c:crossAx val="192947328"/>
        <c:crosses val="autoZero"/>
        <c:auto val="0"/>
        <c:lblAlgn val="ctr"/>
        <c:lblOffset val="100"/>
        <c:tickLblSkip val="1"/>
        <c:tickMarkSkip val="1"/>
        <c:noMultiLvlLbl val="0"/>
      </c:catAx>
      <c:valAx>
        <c:axId val="192947328"/>
        <c:scaling>
          <c:orientation val="minMax"/>
        </c:scaling>
        <c:delete val="0"/>
        <c:axPos val="l"/>
        <c:title>
          <c:tx>
            <c:rich>
              <a:bodyPr rot="0" vert="horz"/>
              <a:lstStyle/>
              <a:p>
                <a:pPr algn="ctr">
                  <a:defRPr sz="91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3413813187"/>
              <c:y val="3.1582125195723926E-2"/>
            </c:manualLayout>
          </c:layout>
          <c:overlay val="0"/>
          <c:spPr>
            <a:noFill/>
            <a:ln w="25713">
              <a:noFill/>
            </a:ln>
          </c:spPr>
        </c:title>
        <c:numFmt formatCode="0_ " sourceLinked="0"/>
        <c:majorTickMark val="in"/>
        <c:minorTickMark val="none"/>
        <c:tickLblPos val="nextTo"/>
        <c:spPr>
          <a:ln w="3214">
            <a:solidFill>
              <a:srgbClr val="000000"/>
            </a:solidFill>
            <a:prstDash val="solid"/>
          </a:ln>
        </c:spPr>
        <c:txPr>
          <a:bodyPr rot="0" vert="horz"/>
          <a:lstStyle/>
          <a:p>
            <a:pPr>
              <a:defRPr sz="911" b="0" i="0" u="none" strike="noStrike" baseline="0">
                <a:solidFill>
                  <a:srgbClr val="000000"/>
                </a:solidFill>
                <a:latin typeface="Times New Roman"/>
                <a:ea typeface="Times New Roman"/>
                <a:cs typeface="Times New Roman"/>
              </a:defRPr>
            </a:pPr>
            <a:endParaRPr lang="zh-TW"/>
          </a:p>
        </c:txPr>
        <c:crossAx val="192941056"/>
        <c:crosses val="autoZero"/>
        <c:crossBetween val="between"/>
      </c:valAx>
      <c:catAx>
        <c:axId val="192949248"/>
        <c:scaling>
          <c:orientation val="minMax"/>
        </c:scaling>
        <c:delete val="1"/>
        <c:axPos val="b"/>
        <c:numFmt formatCode="General" sourceLinked="1"/>
        <c:majorTickMark val="out"/>
        <c:minorTickMark val="none"/>
        <c:tickLblPos val="nextTo"/>
        <c:crossAx val="192951040"/>
        <c:crosses val="autoZero"/>
        <c:auto val="0"/>
        <c:lblAlgn val="ctr"/>
        <c:lblOffset val="100"/>
        <c:noMultiLvlLbl val="0"/>
      </c:catAx>
      <c:valAx>
        <c:axId val="192951040"/>
        <c:scaling>
          <c:orientation val="minMax"/>
          <c:max val="25"/>
        </c:scaling>
        <c:delete val="0"/>
        <c:axPos val="r"/>
        <c:title>
          <c:tx>
            <c:rich>
              <a:bodyPr rot="0" vert="horz"/>
              <a:lstStyle/>
              <a:p>
                <a:pPr algn="ctr">
                  <a:defRPr sz="91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93520010284"/>
              <c:y val="3.0805312426075496E-2"/>
            </c:manualLayout>
          </c:layout>
          <c:overlay val="0"/>
          <c:spPr>
            <a:noFill/>
            <a:ln w="25713">
              <a:noFill/>
            </a:ln>
          </c:spPr>
        </c:title>
        <c:numFmt formatCode="0_ " sourceLinked="0"/>
        <c:majorTickMark val="in"/>
        <c:minorTickMark val="none"/>
        <c:tickLblPos val="nextTo"/>
        <c:spPr>
          <a:ln w="3214">
            <a:solidFill>
              <a:srgbClr val="000000"/>
            </a:solidFill>
            <a:prstDash val="solid"/>
          </a:ln>
        </c:spPr>
        <c:txPr>
          <a:bodyPr rot="0" vert="horz"/>
          <a:lstStyle/>
          <a:p>
            <a:pPr>
              <a:defRPr sz="911" b="0" i="0" u="none" strike="noStrike" baseline="0">
                <a:solidFill>
                  <a:srgbClr val="000000"/>
                </a:solidFill>
                <a:latin typeface="Times New Roman"/>
                <a:ea typeface="Times New Roman"/>
                <a:cs typeface="Times New Roman"/>
              </a:defRPr>
            </a:pPr>
            <a:endParaRPr lang="zh-TW"/>
          </a:p>
        </c:txPr>
        <c:crossAx val="192949248"/>
        <c:crosses val="max"/>
        <c:crossBetween val="between"/>
      </c:valAx>
      <c:spPr>
        <a:solidFill>
          <a:srgbClr val="FFFFFF"/>
        </a:solidFill>
        <a:ln w="12856">
          <a:solidFill>
            <a:srgbClr val="333333"/>
          </a:solidFill>
          <a:prstDash val="solid"/>
        </a:ln>
      </c:spPr>
    </c:plotArea>
    <c:legend>
      <c:legendPos val="r"/>
      <c:layout>
        <c:manualLayout>
          <c:xMode val="edge"/>
          <c:yMode val="edge"/>
          <c:x val="7.1898085909992956E-2"/>
          <c:y val="0.85762743176416245"/>
          <c:w val="0.85645426029063454"/>
          <c:h val="0.13925270070854878"/>
        </c:manualLayout>
      </c:layout>
      <c:overlay val="0"/>
      <c:spPr>
        <a:solidFill>
          <a:srgbClr val="FFFFFF"/>
        </a:solidFill>
        <a:ln w="3214">
          <a:solidFill>
            <a:srgbClr val="000000"/>
          </a:solidFill>
          <a:prstDash val="solid"/>
        </a:ln>
      </c:spPr>
      <c:txPr>
        <a:bodyPr/>
        <a:lstStyle/>
        <a:p>
          <a:pPr>
            <a:defRPr sz="931"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12" b="0" i="0" u="none" strike="noStrike" baseline="0">
          <a:solidFill>
            <a:srgbClr val="000000"/>
          </a:solidFill>
          <a:latin typeface="Arial"/>
          <a:ea typeface="Arial"/>
          <a:cs typeface="Arial"/>
        </a:defRPr>
      </a:pPr>
      <a:endParaRPr lang="zh-TW"/>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manualLayout>
          <c:layoutTarget val="inner"/>
          <c:xMode val="edge"/>
          <c:yMode val="edge"/>
          <c:x val="0.10780606191349369"/>
          <c:y val="9.8881266079363858E-2"/>
          <c:w val="0.80821917808219179"/>
          <c:h val="0.87623762376237624"/>
        </c:manualLayout>
      </c:layout>
      <c:pieChart>
        <c:varyColors val="1"/>
        <c:ser>
          <c:idx val="0"/>
          <c:order val="0"/>
          <c:tx>
            <c:strRef>
              <c:f>工作表1!$B$1</c:f>
              <c:strCache>
                <c:ptCount val="1"/>
                <c:pt idx="0">
                  <c:v>銷售</c:v>
                </c:pt>
              </c:strCache>
            </c:strRef>
          </c:tx>
          <c:explosion val="10"/>
          <c:dPt>
            <c:idx val="2"/>
            <c:bubble3D val="0"/>
            <c:explosion val="0"/>
          </c:dPt>
          <c:dLbls>
            <c:delete val="1"/>
          </c:dLbls>
          <c:cat>
            <c:strRef>
              <c:f>工作表1!$A$2:$A$4</c:f>
              <c:strCache>
                <c:ptCount val="3"/>
                <c:pt idx="0">
                  <c:v>有實施超值星期五</c:v>
                </c:pt>
                <c:pt idx="1">
                  <c:v>有提供相關獎勵措施</c:v>
                </c:pt>
                <c:pt idx="2">
                  <c:v>沒有實施任何相關措施</c:v>
                </c:pt>
              </c:strCache>
            </c:strRef>
          </c:cat>
          <c:val>
            <c:numRef>
              <c:f>工作表1!$B$2:$B$4</c:f>
              <c:numCache>
                <c:formatCode>General</c:formatCode>
                <c:ptCount val="3"/>
                <c:pt idx="0">
                  <c:v>2.8</c:v>
                </c:pt>
                <c:pt idx="1">
                  <c:v>7.7</c:v>
                </c:pt>
                <c:pt idx="2">
                  <c:v>89.5</c:v>
                </c:pt>
              </c:numCache>
            </c:numRef>
          </c:val>
        </c:ser>
        <c:dLbls>
          <c:showLegendKey val="0"/>
          <c:showVal val="0"/>
          <c:showCatName val="1"/>
          <c:showSerName val="0"/>
          <c:showPercent val="1"/>
          <c:showBubbleSize val="0"/>
          <c:showLeaderLines val="1"/>
        </c:dLbls>
        <c:firstSliceAng val="0"/>
      </c:pieChart>
      <c:spPr>
        <a:ln>
          <a:noFill/>
        </a:ln>
      </c:spPr>
    </c:plotArea>
    <c:plotVisOnly val="1"/>
    <c:dispBlanksAs val="gap"/>
    <c:showDLblsOverMax val="0"/>
  </c:chart>
  <c:spPr>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manualLayout>
          <c:layoutTarget val="inner"/>
          <c:xMode val="edge"/>
          <c:yMode val="edge"/>
          <c:x val="0.10780606191349369"/>
          <c:y val="7.4128790831839098E-2"/>
          <c:w val="0.80821917808219179"/>
          <c:h val="0.87623762376237624"/>
        </c:manualLayout>
      </c:layout>
      <c:pieChart>
        <c:varyColors val="1"/>
        <c:ser>
          <c:idx val="0"/>
          <c:order val="0"/>
          <c:tx>
            <c:strRef>
              <c:f>工作表1!$B$1</c:f>
              <c:strCache>
                <c:ptCount val="1"/>
                <c:pt idx="0">
                  <c:v>銷售</c:v>
                </c:pt>
              </c:strCache>
            </c:strRef>
          </c:tx>
          <c:explosion val="10"/>
          <c:dPt>
            <c:idx val="2"/>
            <c:bubble3D val="0"/>
            <c:explosion val="0"/>
          </c:dPt>
          <c:dLbls>
            <c:delete val="1"/>
          </c:dLbls>
          <c:cat>
            <c:strRef>
              <c:f>工作表1!$A$2:$A$3</c:f>
              <c:strCache>
                <c:ptCount val="2"/>
                <c:pt idx="0">
                  <c:v>有提早下班</c:v>
                </c:pt>
                <c:pt idx="1">
                  <c:v>沒有提早下班</c:v>
                </c:pt>
              </c:strCache>
            </c:strRef>
          </c:cat>
          <c:val>
            <c:numRef>
              <c:f>工作表1!$B$2:$B$3</c:f>
              <c:numCache>
                <c:formatCode>General</c:formatCode>
                <c:ptCount val="2"/>
                <c:pt idx="0">
                  <c:v>3.7</c:v>
                </c:pt>
                <c:pt idx="1">
                  <c:v>96.3</c:v>
                </c:pt>
              </c:numCache>
            </c:numRef>
          </c:val>
        </c:ser>
        <c:dLbls>
          <c:showLegendKey val="0"/>
          <c:showVal val="0"/>
          <c:showCatName val="1"/>
          <c:showSerName val="0"/>
          <c:showPercent val="1"/>
          <c:showBubbleSize val="0"/>
          <c:showLeaderLines val="1"/>
        </c:dLbls>
        <c:firstSliceAng val="0"/>
      </c:pieChart>
      <c:spPr>
        <a:ln>
          <a:noFill/>
        </a:ln>
      </c:spPr>
    </c:plotArea>
    <c:plotVisOnly val="1"/>
    <c:dispBlanksAs val="gap"/>
    <c:showDLblsOverMax val="0"/>
  </c:chart>
  <c:spPr>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6421354382325454E-2"/>
                  <c:y val="-6.9103358617263744E-2"/>
                </c:manualLayout>
              </c:layout>
              <c:tx>
                <c:rich>
                  <a:bodyPr/>
                  <a:lstStyle/>
                  <a:p>
                    <a:r>
                      <a:rPr lang="en-US" altLang="zh-TW"/>
                      <a:t>-1.24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Sheet1!$A$148:$A$211</c:f>
              <c:strCache>
                <c:ptCount val="64"/>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strCache>
            </c:strRef>
          </c:cat>
          <c:val>
            <c:numRef>
              <c:f>Sheet1!$C$148:$C$211</c:f>
              <c:numCache>
                <c:formatCode>0.00_ </c:formatCode>
                <c:ptCount val="64"/>
                <c:pt idx="0">
                  <c:v>-3.0269397638993389E-2</c:v>
                </c:pt>
                <c:pt idx="1">
                  <c:v>0.26241421073880389</c:v>
                </c:pt>
                <c:pt idx="2">
                  <c:v>0.4429232937386729</c:v>
                </c:pt>
                <c:pt idx="3">
                  <c:v>0.2806173581880067</c:v>
                </c:pt>
                <c:pt idx="4">
                  <c:v>7.9952028782726003E-2</c:v>
                </c:pt>
                <c:pt idx="5">
                  <c:v>-0.15977631316157481</c:v>
                </c:pt>
                <c:pt idx="6">
                  <c:v>-0.22004400880175634</c:v>
                </c:pt>
                <c:pt idx="7">
                  <c:v>-0.28067361668003832</c:v>
                </c:pt>
                <c:pt idx="8">
                  <c:v>-0.31162042621633024</c:v>
                </c:pt>
                <c:pt idx="9">
                  <c:v>-0.26217606130887194</c:v>
                </c:pt>
                <c:pt idx="10">
                  <c:v>-0.18198362147405778</c:v>
                </c:pt>
                <c:pt idx="11">
                  <c:v>-4.0514534589286555E-2</c:v>
                </c:pt>
                <c:pt idx="12">
                  <c:v>0.15199108318979526</c:v>
                </c:pt>
                <c:pt idx="13">
                  <c:v>0.13152569809793402</c:v>
                </c:pt>
                <c:pt idx="14">
                  <c:v>0.12124886329190065</c:v>
                </c:pt>
                <c:pt idx="15">
                  <c:v>0.12110202845896367</c:v>
                </c:pt>
                <c:pt idx="16">
                  <c:v>9.07166616268551E-2</c:v>
                </c:pt>
                <c:pt idx="17">
                  <c:v>-4.0281973816713723E-2</c:v>
                </c:pt>
                <c:pt idx="18">
                  <c:v>-0.20149103364900389</c:v>
                </c:pt>
                <c:pt idx="19">
                  <c:v>-0.15142337976984388</c:v>
                </c:pt>
                <c:pt idx="20">
                  <c:v>-1.0110201192992108E-2</c:v>
                </c:pt>
                <c:pt idx="21">
                  <c:v>0.15166835187057082</c:v>
                </c:pt>
                <c:pt idx="22">
                  <c:v>0.33316506814740077</c:v>
                </c:pt>
                <c:pt idx="23">
                  <c:v>0.43268263232039139</c:v>
                </c:pt>
                <c:pt idx="24">
                  <c:v>0.45085662759243306</c:v>
                </c:pt>
                <c:pt idx="25">
                  <c:v>0.41891083183722699</c:v>
                </c:pt>
                <c:pt idx="26">
                  <c:v>0.42709574890742452</c:v>
                </c:pt>
                <c:pt idx="27">
                  <c:v>0.45495005439619707</c:v>
                </c:pt>
                <c:pt idx="28">
                  <c:v>0.39381707197008176</c:v>
                </c:pt>
                <c:pt idx="29">
                  <c:v>0.33343140139256988</c:v>
                </c:pt>
                <c:pt idx="30">
                  <c:v>0.25412960609909607</c:v>
                </c:pt>
                <c:pt idx="31">
                  <c:v>0.18523934873746484</c:v>
                </c:pt>
                <c:pt idx="32">
                  <c:v>7.7851304009346478E-2</c:v>
                </c:pt>
                <c:pt idx="33">
                  <c:v>-1.9447685725404451E-2</c:v>
                </c:pt>
                <c:pt idx="34">
                  <c:v>-8.7531608636437497E-2</c:v>
                </c:pt>
                <c:pt idx="35">
                  <c:v>-0.20441935169863701</c:v>
                </c:pt>
                <c:pt idx="36">
                  <c:v>-0.30238002341006487</c:v>
                </c:pt>
                <c:pt idx="37">
                  <c:v>-0.43048625379120686</c:v>
                </c:pt>
                <c:pt idx="38">
                  <c:v>-0.59939078313845373</c:v>
                </c:pt>
                <c:pt idx="39">
                  <c:v>-0.69197311190194455</c:v>
                </c:pt>
                <c:pt idx="40">
                  <c:v>-0.69679474417677634</c:v>
                </c:pt>
                <c:pt idx="41">
                  <c:v>-0.64153969526864474</c:v>
                </c:pt>
                <c:pt idx="42">
                  <c:v>-0.55488297013721599</c:v>
                </c:pt>
                <c:pt idx="43">
                  <c:v>-0.47681850461600561</c:v>
                </c:pt>
                <c:pt idx="44">
                  <c:v>-0.3465851172273049</c:v>
                </c:pt>
                <c:pt idx="45">
                  <c:v>-0.27618657937807933</c:v>
                </c:pt>
                <c:pt idx="46">
                  <c:v>-0.30772386911477323</c:v>
                </c:pt>
                <c:pt idx="47">
                  <c:v>-0.31896285626092924</c:v>
                </c:pt>
                <c:pt idx="48">
                  <c:v>-0.24772914946324942</c:v>
                </c:pt>
                <c:pt idx="49">
                  <c:v>-2.0695364238410008E-2</c:v>
                </c:pt>
                <c:pt idx="50">
                  <c:v>0.27944524943075422</c:v>
                </c:pt>
                <c:pt idx="51">
                  <c:v>0.57797502322221028</c:v>
                </c:pt>
                <c:pt idx="52">
                  <c:v>0.77988712160081963</c:v>
                </c:pt>
                <c:pt idx="53">
                  <c:v>0.91640362488545346</c:v>
                </c:pt>
                <c:pt idx="54">
                  <c:v>0.96862072444756642</c:v>
                </c:pt>
                <c:pt idx="55">
                  <c:v>0.94933546517437239</c:v>
                </c:pt>
                <c:pt idx="56">
                  <c:v>0.86121560087111249</c:v>
                </c:pt>
                <c:pt idx="57">
                  <c:v>0.77534596133084221</c:v>
                </c:pt>
                <c:pt idx="58">
                  <c:v>0.52590572652901901</c:v>
                </c:pt>
                <c:pt idx="59">
                  <c:v>0.16469676419299528</c:v>
                </c:pt>
                <c:pt idx="60">
                  <c:v>-0.31917980462327078</c:v>
                </c:pt>
                <c:pt idx="61">
                  <c:v>-0.76654376091597198</c:v>
                </c:pt>
                <c:pt idx="62">
                  <c:v>-1.0169160066490601</c:v>
                </c:pt>
                <c:pt idx="63">
                  <c:v>-1.1755408475748297</c:v>
                </c:pt>
              </c:numCache>
            </c:numRef>
          </c:val>
        </c:ser>
        <c:dLbls>
          <c:showLegendKey val="0"/>
          <c:showVal val="0"/>
          <c:showCatName val="0"/>
          <c:showSerName val="0"/>
          <c:showPercent val="0"/>
          <c:showBubbleSize val="0"/>
        </c:dLbls>
        <c:gapWidth val="150"/>
        <c:axId val="189568512"/>
        <c:axId val="1895700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9555007173209817E-6"/>
                  <c:y val="4.8854948766294867E-3"/>
                </c:manualLayout>
              </c:layout>
              <c:tx>
                <c:rich>
                  <a:bodyPr/>
                  <a:lstStyle/>
                  <a:p>
                    <a:r>
                      <a:rPr lang="en-US" altLang="en-US"/>
                      <a:t>98.80</a:t>
                    </a:r>
                  </a:p>
                </c:rich>
              </c:tx>
              <c:showLegendKey val="0"/>
              <c:showVal val="1"/>
              <c:showCatName val="0"/>
              <c:showSerName val="0"/>
              <c:showPercent val="0"/>
              <c:showBubbleSize val="0"/>
            </c:dLbl>
            <c:showLegendKey val="0"/>
            <c:showVal val="0"/>
            <c:showCatName val="0"/>
            <c:showSerName val="0"/>
            <c:showPercent val="0"/>
            <c:showBubbleSize val="0"/>
          </c:dLbls>
          <c:cat>
            <c:strRef>
              <c:f>Sheet1!$A$148:$A$211</c:f>
              <c:strCache>
                <c:ptCount val="64"/>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strCache>
            </c:strRef>
          </c:cat>
          <c:val>
            <c:numRef>
              <c:f>Sheet1!$B$148:$B$211</c:f>
              <c:numCache>
                <c:formatCode>General</c:formatCode>
                <c:ptCount val="64"/>
                <c:pt idx="0">
                  <c:v>99.08</c:v>
                </c:pt>
                <c:pt idx="1">
                  <c:v>99.34</c:v>
                </c:pt>
                <c:pt idx="2">
                  <c:v>99.78</c:v>
                </c:pt>
                <c:pt idx="3">
                  <c:v>100.06</c:v>
                </c:pt>
                <c:pt idx="4">
                  <c:v>100.14</c:v>
                </c:pt>
                <c:pt idx="5">
                  <c:v>99.98</c:v>
                </c:pt>
                <c:pt idx="6">
                  <c:v>99.76</c:v>
                </c:pt>
                <c:pt idx="7">
                  <c:v>99.48</c:v>
                </c:pt>
                <c:pt idx="8">
                  <c:v>99.17</c:v>
                </c:pt>
                <c:pt idx="9">
                  <c:v>98.91</c:v>
                </c:pt>
                <c:pt idx="10">
                  <c:v>98.73</c:v>
                </c:pt>
                <c:pt idx="11">
                  <c:v>98.69</c:v>
                </c:pt>
                <c:pt idx="12">
                  <c:v>98.84</c:v>
                </c:pt>
                <c:pt idx="13">
                  <c:v>98.97</c:v>
                </c:pt>
                <c:pt idx="14">
                  <c:v>99.09</c:v>
                </c:pt>
                <c:pt idx="15">
                  <c:v>99.21</c:v>
                </c:pt>
                <c:pt idx="16">
                  <c:v>99.3</c:v>
                </c:pt>
                <c:pt idx="17">
                  <c:v>99.26</c:v>
                </c:pt>
                <c:pt idx="18">
                  <c:v>99.06</c:v>
                </c:pt>
                <c:pt idx="19">
                  <c:v>98.91</c:v>
                </c:pt>
                <c:pt idx="20">
                  <c:v>98.9</c:v>
                </c:pt>
                <c:pt idx="21">
                  <c:v>99.05</c:v>
                </c:pt>
                <c:pt idx="22">
                  <c:v>99.38</c:v>
                </c:pt>
                <c:pt idx="23">
                  <c:v>99.81</c:v>
                </c:pt>
                <c:pt idx="24">
                  <c:v>100.26</c:v>
                </c:pt>
                <c:pt idx="25">
                  <c:v>100.68</c:v>
                </c:pt>
                <c:pt idx="26">
                  <c:v>101.11</c:v>
                </c:pt>
                <c:pt idx="27">
                  <c:v>101.57</c:v>
                </c:pt>
                <c:pt idx="28">
                  <c:v>101.97</c:v>
                </c:pt>
                <c:pt idx="29">
                  <c:v>102.31</c:v>
                </c:pt>
                <c:pt idx="30">
                  <c:v>102.57</c:v>
                </c:pt>
                <c:pt idx="31">
                  <c:v>102.76</c:v>
                </c:pt>
                <c:pt idx="32">
                  <c:v>102.84</c:v>
                </c:pt>
                <c:pt idx="33">
                  <c:v>102.82</c:v>
                </c:pt>
                <c:pt idx="34">
                  <c:v>102.73</c:v>
                </c:pt>
                <c:pt idx="35">
                  <c:v>102.52</c:v>
                </c:pt>
                <c:pt idx="36">
                  <c:v>102.21</c:v>
                </c:pt>
                <c:pt idx="37">
                  <c:v>101.77</c:v>
                </c:pt>
                <c:pt idx="38">
                  <c:v>101.16</c:v>
                </c:pt>
                <c:pt idx="39">
                  <c:v>100.46</c:v>
                </c:pt>
                <c:pt idx="40">
                  <c:v>99.76</c:v>
                </c:pt>
                <c:pt idx="41">
                  <c:v>99.12</c:v>
                </c:pt>
                <c:pt idx="42">
                  <c:v>98.57</c:v>
                </c:pt>
                <c:pt idx="43">
                  <c:v>98.1</c:v>
                </c:pt>
                <c:pt idx="44">
                  <c:v>97.76</c:v>
                </c:pt>
                <c:pt idx="45">
                  <c:v>97.49</c:v>
                </c:pt>
                <c:pt idx="46">
                  <c:v>97.19</c:v>
                </c:pt>
                <c:pt idx="47">
                  <c:v>96.88</c:v>
                </c:pt>
                <c:pt idx="48">
                  <c:v>96.64</c:v>
                </c:pt>
                <c:pt idx="49">
                  <c:v>96.62</c:v>
                </c:pt>
                <c:pt idx="50">
                  <c:v>96.89</c:v>
                </c:pt>
                <c:pt idx="51">
                  <c:v>97.45</c:v>
                </c:pt>
                <c:pt idx="52">
                  <c:v>98.21</c:v>
                </c:pt>
                <c:pt idx="53">
                  <c:v>99.11</c:v>
                </c:pt>
                <c:pt idx="54">
                  <c:v>100.07</c:v>
                </c:pt>
                <c:pt idx="55">
                  <c:v>101.02</c:v>
                </c:pt>
                <c:pt idx="56">
                  <c:v>101.89</c:v>
                </c:pt>
                <c:pt idx="57">
                  <c:v>102.68</c:v>
                </c:pt>
                <c:pt idx="58">
                  <c:v>103.22</c:v>
                </c:pt>
                <c:pt idx="59">
                  <c:v>103.39</c:v>
                </c:pt>
                <c:pt idx="60">
                  <c:v>103.06</c:v>
                </c:pt>
                <c:pt idx="61">
                  <c:v>102.27</c:v>
                </c:pt>
                <c:pt idx="62">
                  <c:v>101.23</c:v>
                </c:pt>
                <c:pt idx="63">
                  <c:v>100.04</c:v>
                </c:pt>
              </c:numCache>
            </c:numRef>
          </c:val>
          <c:smooth val="0"/>
        </c:ser>
        <c:dLbls>
          <c:showLegendKey val="0"/>
          <c:showVal val="0"/>
          <c:showCatName val="0"/>
          <c:showSerName val="0"/>
          <c:showPercent val="0"/>
          <c:showBubbleSize val="0"/>
        </c:dLbls>
        <c:marker val="1"/>
        <c:smooth val="0"/>
        <c:axId val="189552128"/>
        <c:axId val="189554048"/>
      </c:lineChart>
      <c:catAx>
        <c:axId val="18955212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89554048"/>
        <c:crossesAt val="60"/>
        <c:auto val="0"/>
        <c:lblAlgn val="ctr"/>
        <c:lblOffset val="100"/>
        <c:tickLblSkip val="2"/>
        <c:tickMarkSkip val="1"/>
        <c:noMultiLvlLbl val="0"/>
      </c:catAx>
      <c:valAx>
        <c:axId val="1895540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89552128"/>
        <c:crosses val="autoZero"/>
        <c:crossBetween val="between"/>
        <c:majorUnit val="10"/>
        <c:minorUnit val="5"/>
      </c:valAx>
      <c:catAx>
        <c:axId val="189568512"/>
        <c:scaling>
          <c:orientation val="minMax"/>
        </c:scaling>
        <c:delete val="1"/>
        <c:axPos val="b"/>
        <c:majorTickMark val="out"/>
        <c:minorTickMark val="none"/>
        <c:tickLblPos val="nextTo"/>
        <c:crossAx val="189570048"/>
        <c:crosses val="autoZero"/>
        <c:auto val="0"/>
        <c:lblAlgn val="ctr"/>
        <c:lblOffset val="100"/>
        <c:noMultiLvlLbl val="0"/>
      </c:catAx>
      <c:valAx>
        <c:axId val="18957004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895685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stacked"/>
        <c:varyColors val="0"/>
        <c:ser>
          <c:idx val="0"/>
          <c:order val="0"/>
          <c:tx>
            <c:strRef>
              <c:f>工作表1!$B$1</c:f>
              <c:strCache>
                <c:ptCount val="1"/>
                <c:pt idx="0">
                  <c:v>有實施超值星期五</c:v>
                </c:pt>
              </c:strCache>
            </c:strRef>
          </c:tx>
          <c:invertIfNegative val="0"/>
          <c:dLbls>
            <c:dLbl>
              <c:idx val="2"/>
              <c:layout>
                <c:manualLayout>
                  <c:x val="4.704630690195253E-3"/>
                  <c:y val="0"/>
                </c:manualLayout>
              </c:layout>
              <c:spPr/>
              <c:txPr>
                <a:bodyPr/>
                <a:lstStyle/>
                <a:p>
                  <a:pPr>
                    <a:defRPr sz="800" b="1">
                      <a:solidFill>
                        <a:schemeClr val="bg1"/>
                      </a:solidFill>
                    </a:defRPr>
                  </a:pPr>
                  <a:endParaRPr lang="zh-TW"/>
                </a:p>
              </c:txPr>
              <c:showLegendKey val="0"/>
              <c:showVal val="1"/>
              <c:showCatName val="0"/>
              <c:showSerName val="0"/>
              <c:showPercent val="0"/>
              <c:showBubbleSize val="0"/>
            </c:dLbl>
            <c:dLbl>
              <c:idx val="3"/>
              <c:layout>
                <c:manualLayout>
                  <c:x val="7.0553778645574853E-3"/>
                  <c:y val="0"/>
                </c:manualLayout>
              </c:layout>
              <c:spPr/>
              <c:txPr>
                <a:bodyPr/>
                <a:lstStyle/>
                <a:p>
                  <a:pPr>
                    <a:defRPr sz="800" b="1">
                      <a:solidFill>
                        <a:schemeClr val="bg1"/>
                      </a:solidFill>
                    </a:defRPr>
                  </a:pPr>
                  <a:endParaRPr lang="zh-TW"/>
                </a:p>
              </c:txPr>
              <c:showLegendKey val="0"/>
              <c:showVal val="1"/>
              <c:showCatName val="0"/>
              <c:showSerName val="0"/>
              <c:showPercent val="0"/>
              <c:showBubbleSize val="0"/>
            </c:dLbl>
            <c:txPr>
              <a:bodyPr/>
              <a:lstStyle/>
              <a:p>
                <a:pPr>
                  <a:defRPr b="1">
                    <a:solidFill>
                      <a:schemeClr val="bg1"/>
                    </a:solidFill>
                  </a:defRPr>
                </a:pPr>
                <a:endParaRPr lang="zh-TW"/>
              </a:p>
            </c:txPr>
            <c:showLegendKey val="0"/>
            <c:showVal val="1"/>
            <c:showCatName val="0"/>
            <c:showSerName val="0"/>
            <c:showPercent val="0"/>
            <c:showBubbleSize val="0"/>
            <c:showLeaderLines val="0"/>
          </c:dLbls>
          <c:cat>
            <c:strRef>
              <c:f>工作表1!$A$2:$A$5</c:f>
              <c:strCache>
                <c:ptCount val="4"/>
                <c:pt idx="0">
                  <c:v>1000人以上
(996份樣本)</c:v>
                </c:pt>
                <c:pt idx="1">
                  <c:v>500-999人
(215份樣本)</c:v>
                </c:pt>
                <c:pt idx="2">
                  <c:v>100-499人
(427份樣本)</c:v>
                </c:pt>
                <c:pt idx="3">
                  <c:v>未滿100人
(555份樣本)</c:v>
                </c:pt>
              </c:strCache>
            </c:strRef>
          </c:cat>
          <c:val>
            <c:numRef>
              <c:f>工作表1!$B$2:$B$5</c:f>
              <c:numCache>
                <c:formatCode>General</c:formatCode>
                <c:ptCount val="4"/>
                <c:pt idx="0">
                  <c:v>5.8</c:v>
                </c:pt>
                <c:pt idx="1">
                  <c:v>4.0999999999999996</c:v>
                </c:pt>
                <c:pt idx="2">
                  <c:v>2.1</c:v>
                </c:pt>
                <c:pt idx="3">
                  <c:v>2.4</c:v>
                </c:pt>
              </c:numCache>
            </c:numRef>
          </c:val>
        </c:ser>
        <c:ser>
          <c:idx val="1"/>
          <c:order val="1"/>
          <c:tx>
            <c:strRef>
              <c:f>工作表1!$C$1</c:f>
              <c:strCache>
                <c:ptCount val="1"/>
                <c:pt idx="0">
                  <c:v>有提供相關措施</c:v>
                </c:pt>
              </c:strCache>
            </c:strRef>
          </c:tx>
          <c:invertIfNegative val="0"/>
          <c:dLbls>
            <c:dLbl>
              <c:idx val="2"/>
              <c:layout>
                <c:manualLayout>
                  <c:x val="9.408651930247704E-3"/>
                  <c:y val="0"/>
                </c:manualLayout>
              </c:layout>
              <c:spPr/>
              <c:txPr>
                <a:bodyPr/>
                <a:lstStyle/>
                <a:p>
                  <a:pPr>
                    <a:defRPr sz="800" b="1">
                      <a:solidFill>
                        <a:schemeClr val="bg1"/>
                      </a:solidFill>
                    </a:defRPr>
                  </a:pPr>
                  <a:endParaRPr lang="zh-TW"/>
                </a:p>
              </c:txPr>
              <c:showLegendKey val="0"/>
              <c:showVal val="1"/>
              <c:showCatName val="0"/>
              <c:showSerName val="0"/>
              <c:showPercent val="0"/>
              <c:showBubbleSize val="0"/>
            </c:dLbl>
            <c:dLbl>
              <c:idx val="3"/>
              <c:layout>
                <c:manualLayout>
                  <c:x val="1.8816377957888489E-2"/>
                  <c:y val="0"/>
                </c:manualLayout>
              </c:layout>
              <c:spPr/>
              <c:txPr>
                <a:bodyPr/>
                <a:lstStyle/>
                <a:p>
                  <a:pPr>
                    <a:defRPr sz="800" b="1">
                      <a:solidFill>
                        <a:schemeClr val="bg1"/>
                      </a:solidFill>
                    </a:defRPr>
                  </a:pPr>
                  <a:endParaRPr lang="zh-TW"/>
                </a:p>
              </c:txPr>
              <c:showLegendKey val="0"/>
              <c:showVal val="1"/>
              <c:showCatName val="0"/>
              <c:showSerName val="0"/>
              <c:showPercent val="0"/>
              <c:showBubbleSize val="0"/>
            </c:dLbl>
            <c:txPr>
              <a:bodyPr/>
              <a:lstStyle/>
              <a:p>
                <a:pPr>
                  <a:defRPr b="1">
                    <a:solidFill>
                      <a:schemeClr val="bg1"/>
                    </a:solidFill>
                  </a:defRPr>
                </a:pPr>
                <a:endParaRPr lang="zh-TW"/>
              </a:p>
            </c:txPr>
            <c:showLegendKey val="0"/>
            <c:showVal val="1"/>
            <c:showCatName val="0"/>
            <c:showSerName val="0"/>
            <c:showPercent val="0"/>
            <c:showBubbleSize val="0"/>
            <c:showLeaderLines val="0"/>
          </c:dLbls>
          <c:cat>
            <c:strRef>
              <c:f>工作表1!$A$2:$A$5</c:f>
              <c:strCache>
                <c:ptCount val="4"/>
                <c:pt idx="0">
                  <c:v>1000人以上
(996份樣本)</c:v>
                </c:pt>
                <c:pt idx="1">
                  <c:v>500-999人
(215份樣本)</c:v>
                </c:pt>
                <c:pt idx="2">
                  <c:v>100-499人
(427份樣本)</c:v>
                </c:pt>
                <c:pt idx="3">
                  <c:v>未滿100人
(555份樣本)</c:v>
                </c:pt>
              </c:strCache>
            </c:strRef>
          </c:cat>
          <c:val>
            <c:numRef>
              <c:f>工作表1!$C$2:$C$5</c:f>
              <c:numCache>
                <c:formatCode>General</c:formatCode>
                <c:ptCount val="4"/>
                <c:pt idx="0">
                  <c:v>18.3</c:v>
                </c:pt>
                <c:pt idx="1">
                  <c:v>11.5</c:v>
                </c:pt>
                <c:pt idx="2">
                  <c:v>4.3</c:v>
                </c:pt>
                <c:pt idx="3">
                  <c:v>2.4</c:v>
                </c:pt>
              </c:numCache>
            </c:numRef>
          </c:val>
        </c:ser>
        <c:ser>
          <c:idx val="2"/>
          <c:order val="2"/>
          <c:tx>
            <c:strRef>
              <c:f>工作表1!$D$1</c:f>
              <c:strCache>
                <c:ptCount val="1"/>
                <c:pt idx="0">
                  <c:v>沒有實施任何相關措施</c:v>
                </c:pt>
              </c:strCache>
            </c:strRef>
          </c:tx>
          <c:invertIfNegative val="0"/>
          <c:dLbls>
            <c:txPr>
              <a:bodyPr/>
              <a:lstStyle/>
              <a:p>
                <a:pPr>
                  <a:defRPr sz="1200" b="1"/>
                </a:pPr>
                <a:endParaRPr lang="zh-TW"/>
              </a:p>
            </c:txPr>
            <c:showLegendKey val="0"/>
            <c:showVal val="1"/>
            <c:showCatName val="0"/>
            <c:showSerName val="0"/>
            <c:showPercent val="0"/>
            <c:showBubbleSize val="0"/>
            <c:showLeaderLines val="0"/>
          </c:dLbls>
          <c:cat>
            <c:strRef>
              <c:f>工作表1!$A$2:$A$5</c:f>
              <c:strCache>
                <c:ptCount val="4"/>
                <c:pt idx="0">
                  <c:v>1000人以上
(996份樣本)</c:v>
                </c:pt>
                <c:pt idx="1">
                  <c:v>500-999人
(215份樣本)</c:v>
                </c:pt>
                <c:pt idx="2">
                  <c:v>100-499人
(427份樣本)</c:v>
                </c:pt>
                <c:pt idx="3">
                  <c:v>未滿100人
(555份樣本)</c:v>
                </c:pt>
              </c:strCache>
            </c:strRef>
          </c:cat>
          <c:val>
            <c:numRef>
              <c:f>工作表1!$D$2:$D$5</c:f>
              <c:numCache>
                <c:formatCode>General</c:formatCode>
                <c:ptCount val="4"/>
                <c:pt idx="0">
                  <c:v>75.900000000000006</c:v>
                </c:pt>
                <c:pt idx="1">
                  <c:v>84.4</c:v>
                </c:pt>
                <c:pt idx="2">
                  <c:v>93.7</c:v>
                </c:pt>
                <c:pt idx="3">
                  <c:v>95.1</c:v>
                </c:pt>
              </c:numCache>
            </c:numRef>
          </c:val>
        </c:ser>
        <c:dLbls>
          <c:showLegendKey val="0"/>
          <c:showVal val="1"/>
          <c:showCatName val="0"/>
          <c:showSerName val="0"/>
          <c:showPercent val="0"/>
          <c:showBubbleSize val="0"/>
        </c:dLbls>
        <c:gapWidth val="75"/>
        <c:overlap val="100"/>
        <c:axId val="193031168"/>
        <c:axId val="193053440"/>
      </c:barChart>
      <c:catAx>
        <c:axId val="193031168"/>
        <c:scaling>
          <c:orientation val="minMax"/>
        </c:scaling>
        <c:delete val="0"/>
        <c:axPos val="l"/>
        <c:majorTickMark val="out"/>
        <c:minorTickMark val="none"/>
        <c:tickLblPos val="nextTo"/>
        <c:txPr>
          <a:bodyPr/>
          <a:lstStyle/>
          <a:p>
            <a:pPr>
              <a:defRPr sz="900"/>
            </a:pPr>
            <a:endParaRPr lang="zh-TW"/>
          </a:p>
        </c:txPr>
        <c:crossAx val="193053440"/>
        <c:crosses val="autoZero"/>
        <c:auto val="1"/>
        <c:lblAlgn val="ctr"/>
        <c:lblOffset val="100"/>
        <c:noMultiLvlLbl val="0"/>
      </c:catAx>
      <c:valAx>
        <c:axId val="193053440"/>
        <c:scaling>
          <c:orientation val="minMax"/>
          <c:max val="100"/>
        </c:scaling>
        <c:delete val="1"/>
        <c:axPos val="b"/>
        <c:numFmt formatCode="General" sourceLinked="1"/>
        <c:majorTickMark val="none"/>
        <c:minorTickMark val="none"/>
        <c:tickLblPos val="nextTo"/>
        <c:crossAx val="193031168"/>
        <c:crosses val="autoZero"/>
        <c:crossBetween val="between"/>
      </c:valAx>
    </c:plotArea>
    <c:legend>
      <c:legendPos val="t"/>
      <c:overlay val="0"/>
    </c:legend>
    <c:plotVisOnly val="1"/>
    <c:dispBlanksAs val="gap"/>
    <c:showDLblsOverMax val="0"/>
  </c:chart>
  <c:spPr>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67904883982523"/>
          <c:y val="4.4367291302232402E-2"/>
          <c:w val="0.57024762602349122"/>
          <c:h val="0.91126541739553524"/>
        </c:manualLayout>
      </c:layout>
      <c:barChart>
        <c:barDir val="bar"/>
        <c:grouping val="clustered"/>
        <c:varyColors val="0"/>
        <c:ser>
          <c:idx val="0"/>
          <c:order val="0"/>
          <c:tx>
            <c:strRef>
              <c:f>工作表1!$B$1</c:f>
              <c:strCache>
                <c:ptCount val="1"/>
                <c:pt idx="0">
                  <c:v>數列 1</c:v>
                </c:pt>
              </c:strCache>
            </c:strRef>
          </c:tx>
          <c:spPr>
            <a:solidFill>
              <a:schemeClr val="accent1"/>
            </a:solidFill>
          </c:spPr>
          <c:invertIfNegative val="0"/>
          <c:dLbls>
            <c:dLbl>
              <c:idx val="10"/>
              <c:spPr/>
              <c:txPr>
                <a:bodyPr/>
                <a:lstStyle/>
                <a:p>
                  <a:pPr>
                    <a:defRPr sz="1100" b="1"/>
                  </a:pPr>
                  <a:endParaRPr lang="zh-TW"/>
                </a:p>
              </c:txPr>
              <c:showLegendKey val="0"/>
              <c:showVal val="1"/>
              <c:showCatName val="0"/>
              <c:showSerName val="0"/>
              <c:showPercent val="0"/>
              <c:showBubbleSize val="0"/>
            </c:dLbl>
            <c:dLbl>
              <c:idx val="11"/>
              <c:spPr/>
              <c:txPr>
                <a:bodyPr/>
                <a:lstStyle/>
                <a:p>
                  <a:pPr>
                    <a:defRPr sz="1100" b="1"/>
                  </a:pPr>
                  <a:endParaRPr lang="zh-TW"/>
                </a:p>
              </c:txPr>
              <c:showLegendKey val="0"/>
              <c:showVal val="1"/>
              <c:showCatName val="0"/>
              <c:showSerName val="0"/>
              <c:showPercent val="0"/>
              <c:showBubbleSize val="0"/>
            </c:dLbl>
            <c:dLbl>
              <c:idx val="12"/>
              <c:spPr/>
              <c:txPr>
                <a:bodyPr/>
                <a:lstStyle/>
                <a:p>
                  <a:pPr>
                    <a:defRPr sz="1100" b="1"/>
                  </a:pPr>
                  <a:endParaRPr lang="zh-TW"/>
                </a:p>
              </c:txPr>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工作表1!$A$2:$A$14</c:f>
              <c:strCache>
                <c:ptCount val="13"/>
                <c:pt idx="0">
                  <c:v>回家鄉/拜訪親戚</c:v>
                </c:pt>
                <c:pt idx="1">
                  <c:v>旅行</c:v>
                </c:pt>
                <c:pt idx="2">
                  <c:v>美術館/博物館</c:v>
                </c:pt>
                <c:pt idx="3">
                  <c:v>醫院</c:v>
                </c:pt>
                <c:pt idx="4">
                  <c:v>其他</c:v>
                </c:pt>
                <c:pt idx="5">
                  <c:v>美髮理容</c:v>
                </c:pt>
                <c:pt idx="6">
                  <c:v>運動</c:v>
                </c:pt>
                <c:pt idx="7">
                  <c:v>看電影</c:v>
                </c:pt>
                <c:pt idx="8">
                  <c:v>推拿</c:v>
                </c:pt>
                <c:pt idx="9">
                  <c:v>娛樂場所</c:v>
                </c:pt>
                <c:pt idx="10">
                  <c:v>購物</c:v>
                </c:pt>
                <c:pt idx="11">
                  <c:v>聚餐</c:v>
                </c:pt>
                <c:pt idx="12">
                  <c:v>回家</c:v>
                </c:pt>
              </c:strCache>
            </c:strRef>
          </c:cat>
          <c:val>
            <c:numRef>
              <c:f>工作表1!$B$2:$B$14</c:f>
              <c:numCache>
                <c:formatCode>General</c:formatCode>
                <c:ptCount val="13"/>
                <c:pt idx="0">
                  <c:v>2.5</c:v>
                </c:pt>
                <c:pt idx="1">
                  <c:v>2.5</c:v>
                </c:pt>
                <c:pt idx="2">
                  <c:v>2.5</c:v>
                </c:pt>
                <c:pt idx="3">
                  <c:v>3.4</c:v>
                </c:pt>
                <c:pt idx="4">
                  <c:v>3.8</c:v>
                </c:pt>
                <c:pt idx="5">
                  <c:v>3.8</c:v>
                </c:pt>
                <c:pt idx="6">
                  <c:v>4.7</c:v>
                </c:pt>
                <c:pt idx="7">
                  <c:v>4.8</c:v>
                </c:pt>
                <c:pt idx="8">
                  <c:v>6.5</c:v>
                </c:pt>
                <c:pt idx="9">
                  <c:v>7.2</c:v>
                </c:pt>
                <c:pt idx="10">
                  <c:v>26.6</c:v>
                </c:pt>
                <c:pt idx="11">
                  <c:v>32.1</c:v>
                </c:pt>
                <c:pt idx="12">
                  <c:v>41.8</c:v>
                </c:pt>
              </c:numCache>
            </c:numRef>
          </c:val>
        </c:ser>
        <c:dLbls>
          <c:showLegendKey val="0"/>
          <c:showVal val="1"/>
          <c:showCatName val="0"/>
          <c:showSerName val="0"/>
          <c:showPercent val="0"/>
          <c:showBubbleSize val="0"/>
        </c:dLbls>
        <c:gapWidth val="150"/>
        <c:overlap val="-25"/>
        <c:axId val="193063168"/>
        <c:axId val="193105920"/>
      </c:barChart>
      <c:catAx>
        <c:axId val="193063168"/>
        <c:scaling>
          <c:orientation val="minMax"/>
        </c:scaling>
        <c:delete val="0"/>
        <c:axPos val="l"/>
        <c:majorTickMark val="none"/>
        <c:minorTickMark val="none"/>
        <c:tickLblPos val="nextTo"/>
        <c:crossAx val="193105920"/>
        <c:crosses val="autoZero"/>
        <c:auto val="1"/>
        <c:lblAlgn val="ctr"/>
        <c:lblOffset val="100"/>
        <c:noMultiLvlLbl val="0"/>
      </c:catAx>
      <c:valAx>
        <c:axId val="193105920"/>
        <c:scaling>
          <c:orientation val="minMax"/>
        </c:scaling>
        <c:delete val="1"/>
        <c:axPos val="b"/>
        <c:numFmt formatCode="General" sourceLinked="1"/>
        <c:majorTickMark val="out"/>
        <c:minorTickMark val="none"/>
        <c:tickLblPos val="nextTo"/>
        <c:crossAx val="19306316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工作表1!$C$1</c:f>
              <c:strCache>
                <c:ptCount val="1"/>
                <c:pt idx="0">
                  <c:v>GDP</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cat>
            <c:multiLvlStrRef>
              <c:f>工作表1!$A$2:$B$17</c:f>
              <c:multiLvlStrCache>
                <c:ptCount val="1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lvl>
                <c:lvl>
                  <c:pt idx="0">
                    <c:v>2008年</c:v>
                  </c:pt>
                  <c:pt idx="4">
                    <c:v>2009年</c:v>
                  </c:pt>
                  <c:pt idx="8">
                    <c:v>2015年</c:v>
                  </c:pt>
                  <c:pt idx="12">
                    <c:v>2016年</c:v>
                  </c:pt>
                </c:lvl>
              </c:multiLvlStrCache>
            </c:multiLvlStrRef>
          </c:cat>
          <c:val>
            <c:numRef>
              <c:f>工作表1!$C$2:$C$17</c:f>
              <c:numCache>
                <c:formatCode>General</c:formatCode>
                <c:ptCount val="16"/>
                <c:pt idx="0">
                  <c:v>7.72</c:v>
                </c:pt>
                <c:pt idx="1">
                  <c:v>5.48</c:v>
                </c:pt>
                <c:pt idx="2">
                  <c:v>-1.32</c:v>
                </c:pt>
                <c:pt idx="3">
                  <c:v>-7.65</c:v>
                </c:pt>
                <c:pt idx="4">
                  <c:v>-7.88</c:v>
                </c:pt>
                <c:pt idx="5">
                  <c:v>-6.07</c:v>
                </c:pt>
                <c:pt idx="6">
                  <c:v>-1.24</c:v>
                </c:pt>
                <c:pt idx="7">
                  <c:v>9.0399999999999991</c:v>
                </c:pt>
                <c:pt idx="8">
                  <c:v>4.01</c:v>
                </c:pt>
                <c:pt idx="9">
                  <c:v>0.66</c:v>
                </c:pt>
                <c:pt idx="10">
                  <c:v>-0.7</c:v>
                </c:pt>
                <c:pt idx="11">
                  <c:v>-0.79</c:v>
                </c:pt>
                <c:pt idx="12">
                  <c:v>-0.23</c:v>
                </c:pt>
                <c:pt idx="13">
                  <c:v>1.1299999999999999</c:v>
                </c:pt>
                <c:pt idx="14">
                  <c:v>2.12</c:v>
                </c:pt>
                <c:pt idx="15">
                  <c:v>2.79</c:v>
                </c:pt>
              </c:numCache>
            </c:numRef>
          </c:val>
        </c:ser>
        <c:ser>
          <c:idx val="1"/>
          <c:order val="1"/>
          <c:tx>
            <c:strRef>
              <c:f>工作表1!$D$1</c:f>
              <c:strCache>
                <c:ptCount val="1"/>
                <c:pt idx="0">
                  <c:v>民間消費</c:v>
                </c:pt>
              </c:strCache>
            </c:strRef>
          </c:tx>
          <c:invertIfNegative val="0"/>
          <c:cat>
            <c:multiLvlStrRef>
              <c:f>工作表1!$A$2:$B$17</c:f>
              <c:multiLvlStrCache>
                <c:ptCount val="1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lvl>
                <c:lvl>
                  <c:pt idx="0">
                    <c:v>2008年</c:v>
                  </c:pt>
                  <c:pt idx="4">
                    <c:v>2009年</c:v>
                  </c:pt>
                  <c:pt idx="8">
                    <c:v>2015年</c:v>
                  </c:pt>
                  <c:pt idx="12">
                    <c:v>2016年</c:v>
                  </c:pt>
                </c:lvl>
              </c:multiLvlStrCache>
            </c:multiLvlStrRef>
          </c:cat>
          <c:val>
            <c:numRef>
              <c:f>工作表1!$D$2:$D$17</c:f>
              <c:numCache>
                <c:formatCode>General</c:formatCode>
                <c:ptCount val="16"/>
                <c:pt idx="0">
                  <c:v>2.2200000000000002</c:v>
                </c:pt>
                <c:pt idx="1">
                  <c:v>-0.44</c:v>
                </c:pt>
                <c:pt idx="2">
                  <c:v>-4.1100000000000003</c:v>
                </c:pt>
                <c:pt idx="3">
                  <c:v>-4.3</c:v>
                </c:pt>
                <c:pt idx="4">
                  <c:v>-3.39</c:v>
                </c:pt>
                <c:pt idx="5">
                  <c:v>-1.93</c:v>
                </c:pt>
                <c:pt idx="6">
                  <c:v>0.79</c:v>
                </c:pt>
                <c:pt idx="7">
                  <c:v>4.78</c:v>
                </c:pt>
                <c:pt idx="8">
                  <c:v>3.52</c:v>
                </c:pt>
                <c:pt idx="9">
                  <c:v>3.63</c:v>
                </c:pt>
                <c:pt idx="10">
                  <c:v>1.2</c:v>
                </c:pt>
                <c:pt idx="11">
                  <c:v>2.42</c:v>
                </c:pt>
                <c:pt idx="12">
                  <c:v>2.64</c:v>
                </c:pt>
                <c:pt idx="13">
                  <c:v>1.59</c:v>
                </c:pt>
                <c:pt idx="14">
                  <c:v>2.7</c:v>
                </c:pt>
                <c:pt idx="15">
                  <c:v>2.0099999999999998</c:v>
                </c:pt>
              </c:numCache>
            </c:numRef>
          </c:val>
        </c:ser>
        <c:dLbls>
          <c:showLegendKey val="0"/>
          <c:showVal val="0"/>
          <c:showCatName val="0"/>
          <c:showSerName val="0"/>
          <c:showPercent val="0"/>
          <c:showBubbleSize val="0"/>
        </c:dLbls>
        <c:gapWidth val="150"/>
        <c:axId val="192586496"/>
        <c:axId val="192588032"/>
      </c:barChart>
      <c:catAx>
        <c:axId val="192586496"/>
        <c:scaling>
          <c:orientation val="minMax"/>
        </c:scaling>
        <c:delete val="0"/>
        <c:axPos val="b"/>
        <c:majorTickMark val="out"/>
        <c:minorTickMark val="none"/>
        <c:tickLblPos val="low"/>
        <c:crossAx val="192588032"/>
        <c:crosses val="autoZero"/>
        <c:auto val="1"/>
        <c:lblAlgn val="ctr"/>
        <c:lblOffset val="100"/>
        <c:noMultiLvlLbl val="0"/>
      </c:catAx>
      <c:valAx>
        <c:axId val="192588032"/>
        <c:scaling>
          <c:orientation val="minMax"/>
        </c:scaling>
        <c:delete val="1"/>
        <c:axPos val="l"/>
        <c:numFmt formatCode="General" sourceLinked="1"/>
        <c:majorTickMark val="none"/>
        <c:minorTickMark val="none"/>
        <c:tickLblPos val="nextTo"/>
        <c:crossAx val="192586496"/>
        <c:crosses val="autoZero"/>
        <c:crossBetween val="between"/>
      </c:valAx>
    </c:plotArea>
    <c:legend>
      <c:legendPos val="t"/>
      <c:overlay val="0"/>
    </c:legend>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67136978248089E-2"/>
          <c:y val="2.8554377689283494E-2"/>
          <c:w val="0.93180060650324359"/>
          <c:h val="0.82790009739348625"/>
        </c:manualLayout>
      </c:layout>
      <c:barChart>
        <c:barDir val="col"/>
        <c:grouping val="clustered"/>
        <c:varyColors val="0"/>
        <c:ser>
          <c:idx val="0"/>
          <c:order val="0"/>
          <c:tx>
            <c:strRef>
              <c:f>工作表1!$C$1</c:f>
              <c:strCache>
                <c:ptCount val="1"/>
                <c:pt idx="0">
                  <c:v>民間消費</c:v>
                </c:pt>
              </c:strCache>
            </c:strRef>
          </c:tx>
          <c:spPr>
            <a:pattFill prst="ltUpDiag">
              <a:fgClr>
                <a:schemeClr val="tx1">
                  <a:lumMod val="95000"/>
                  <a:lumOff val="5000"/>
                </a:schemeClr>
              </a:fgClr>
              <a:bgClr>
                <a:schemeClr val="bg1"/>
              </a:bgClr>
            </a:pattFill>
          </c:spPr>
          <c:invertIfNegative val="0"/>
          <c:cat>
            <c:multiLvlStrRef>
              <c:f>工作表1!$A$2:$B$9</c:f>
              <c:multiLvlStrCache>
                <c:ptCount val="8"/>
                <c:lvl>
                  <c:pt idx="0">
                    <c:v>Q1</c:v>
                  </c:pt>
                  <c:pt idx="1">
                    <c:v>Q2</c:v>
                  </c:pt>
                  <c:pt idx="2">
                    <c:v>Q3</c:v>
                  </c:pt>
                  <c:pt idx="3">
                    <c:v>Q4</c:v>
                  </c:pt>
                  <c:pt idx="4">
                    <c:v>Q1</c:v>
                  </c:pt>
                  <c:pt idx="5">
                    <c:v>Q2</c:v>
                  </c:pt>
                  <c:pt idx="6">
                    <c:v>Q3</c:v>
                  </c:pt>
                  <c:pt idx="7">
                    <c:v>Q4</c:v>
                  </c:pt>
                </c:lvl>
                <c:lvl>
                  <c:pt idx="0">
                    <c:v>2008年</c:v>
                  </c:pt>
                  <c:pt idx="4">
                    <c:v>2009年</c:v>
                  </c:pt>
                </c:lvl>
              </c:multiLvlStrCache>
            </c:multiLvlStrRef>
          </c:cat>
          <c:val>
            <c:numRef>
              <c:f>工作表1!$C$2:$C$9</c:f>
              <c:numCache>
                <c:formatCode>General</c:formatCode>
                <c:ptCount val="8"/>
                <c:pt idx="0">
                  <c:v>2.2200000000000002</c:v>
                </c:pt>
                <c:pt idx="1">
                  <c:v>-0.44</c:v>
                </c:pt>
                <c:pt idx="2">
                  <c:v>-4.1100000000000003</c:v>
                </c:pt>
                <c:pt idx="3">
                  <c:v>-4.3</c:v>
                </c:pt>
                <c:pt idx="4">
                  <c:v>-3.39</c:v>
                </c:pt>
                <c:pt idx="5">
                  <c:v>-1.93</c:v>
                </c:pt>
                <c:pt idx="6">
                  <c:v>0.79</c:v>
                </c:pt>
                <c:pt idx="7">
                  <c:v>4.78</c:v>
                </c:pt>
              </c:numCache>
            </c:numRef>
          </c:val>
        </c:ser>
        <c:ser>
          <c:idx val="1"/>
          <c:order val="1"/>
          <c:tx>
            <c:strRef>
              <c:f>工作表1!$D$1</c:f>
              <c:strCache>
                <c:ptCount val="1"/>
                <c:pt idx="0">
                  <c:v>通訊類</c:v>
                </c:pt>
              </c:strCache>
            </c:strRef>
          </c:tx>
          <c:spPr>
            <a:ln>
              <a:noFill/>
            </a:ln>
          </c:spPr>
          <c:invertIfNegative val="0"/>
          <c:cat>
            <c:multiLvlStrRef>
              <c:f>工作表1!$A$2:$B$9</c:f>
              <c:multiLvlStrCache>
                <c:ptCount val="8"/>
                <c:lvl>
                  <c:pt idx="0">
                    <c:v>Q1</c:v>
                  </c:pt>
                  <c:pt idx="1">
                    <c:v>Q2</c:v>
                  </c:pt>
                  <c:pt idx="2">
                    <c:v>Q3</c:v>
                  </c:pt>
                  <c:pt idx="3">
                    <c:v>Q4</c:v>
                  </c:pt>
                  <c:pt idx="4">
                    <c:v>Q1</c:v>
                  </c:pt>
                  <c:pt idx="5">
                    <c:v>Q2</c:v>
                  </c:pt>
                  <c:pt idx="6">
                    <c:v>Q3</c:v>
                  </c:pt>
                  <c:pt idx="7">
                    <c:v>Q4</c:v>
                  </c:pt>
                </c:lvl>
                <c:lvl>
                  <c:pt idx="0">
                    <c:v>2008年</c:v>
                  </c:pt>
                  <c:pt idx="4">
                    <c:v>2009年</c:v>
                  </c:pt>
                </c:lvl>
              </c:multiLvlStrCache>
            </c:multiLvlStrRef>
          </c:cat>
          <c:val>
            <c:numRef>
              <c:f>工作表1!$D$2:$D$9</c:f>
              <c:numCache>
                <c:formatCode>General</c:formatCode>
                <c:ptCount val="8"/>
                <c:pt idx="0">
                  <c:v>8.94</c:v>
                </c:pt>
                <c:pt idx="1">
                  <c:v>7.55</c:v>
                </c:pt>
                <c:pt idx="2">
                  <c:v>8.39</c:v>
                </c:pt>
                <c:pt idx="3">
                  <c:v>7.3</c:v>
                </c:pt>
                <c:pt idx="4">
                  <c:v>7.63</c:v>
                </c:pt>
                <c:pt idx="5">
                  <c:v>7.88</c:v>
                </c:pt>
                <c:pt idx="6">
                  <c:v>9.36</c:v>
                </c:pt>
                <c:pt idx="7">
                  <c:v>9.36</c:v>
                </c:pt>
              </c:numCache>
            </c:numRef>
          </c:val>
        </c:ser>
        <c:dLbls>
          <c:showLegendKey val="0"/>
          <c:showVal val="1"/>
          <c:showCatName val="0"/>
          <c:showSerName val="0"/>
          <c:showPercent val="0"/>
          <c:showBubbleSize val="0"/>
        </c:dLbls>
        <c:gapWidth val="150"/>
        <c:overlap val="-25"/>
        <c:axId val="193164416"/>
        <c:axId val="193165952"/>
      </c:barChart>
      <c:catAx>
        <c:axId val="193164416"/>
        <c:scaling>
          <c:orientation val="minMax"/>
        </c:scaling>
        <c:delete val="0"/>
        <c:axPos val="b"/>
        <c:numFmt formatCode="General" sourceLinked="1"/>
        <c:majorTickMark val="in"/>
        <c:minorTickMark val="none"/>
        <c:tickLblPos val="low"/>
        <c:spPr>
          <a:ln>
            <a:noFill/>
          </a:ln>
        </c:spPr>
        <c:crossAx val="193165952"/>
        <c:crosses val="autoZero"/>
        <c:auto val="1"/>
        <c:lblAlgn val="ctr"/>
        <c:lblOffset val="10"/>
        <c:noMultiLvlLbl val="0"/>
      </c:catAx>
      <c:valAx>
        <c:axId val="193165952"/>
        <c:scaling>
          <c:orientation val="minMax"/>
        </c:scaling>
        <c:delete val="1"/>
        <c:axPos val="l"/>
        <c:numFmt formatCode="General" sourceLinked="1"/>
        <c:majorTickMark val="none"/>
        <c:minorTickMark val="none"/>
        <c:tickLblPos val="none"/>
        <c:crossAx val="193164416"/>
        <c:crosses val="autoZero"/>
        <c:crossBetween val="between"/>
      </c:valAx>
    </c:plotArea>
    <c:legend>
      <c:legendPos val="t"/>
      <c:overlay val="0"/>
    </c:legend>
    <c:plotVisOnly val="1"/>
    <c:dispBlanksAs val="gap"/>
    <c:showDLblsOverMax val="0"/>
  </c:chart>
  <c:spPr>
    <a:ln w="9525">
      <a:solidFill>
        <a:schemeClr val="tx1"/>
      </a:solid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9.2897452524316818E-2"/>
          <c:y val="0.17184110413164647"/>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Sheet1!$A$69:$A$133</c:f>
              <c:strCache>
                <c:ptCount val="65"/>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strCache>
            </c:strRef>
          </c:cat>
          <c:val>
            <c:numRef>
              <c:f>Sheet1!$B$69:$B$133</c:f>
              <c:numCache>
                <c:formatCode>@</c:formatCode>
                <c:ptCount val="65"/>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formatCode="0.00">
                  <c:v>99.56</c:v>
                </c:pt>
                <c:pt idx="16" formatCode="General">
                  <c:v>104.15</c:v>
                </c:pt>
                <c:pt idx="17" formatCode="General">
                  <c:v>99.36</c:v>
                </c:pt>
                <c:pt idx="18" formatCode="General">
                  <c:v>105.83</c:v>
                </c:pt>
                <c:pt idx="19" formatCode="General">
                  <c:v>103.39</c:v>
                </c:pt>
                <c:pt idx="20" formatCode="General">
                  <c:v>98.91</c:v>
                </c:pt>
                <c:pt idx="21" formatCode="General">
                  <c:v>103.29</c:v>
                </c:pt>
                <c:pt idx="22" formatCode="General">
                  <c:v>100.57</c:v>
                </c:pt>
                <c:pt idx="23" formatCode="General">
                  <c:v>103.96</c:v>
                </c:pt>
                <c:pt idx="24" formatCode="General">
                  <c:v>101.25</c:v>
                </c:pt>
                <c:pt idx="25" formatCode="General">
                  <c:v>88.28</c:v>
                </c:pt>
                <c:pt idx="26" formatCode="General">
                  <c:v>104.76</c:v>
                </c:pt>
                <c:pt idx="27" formatCode="General">
                  <c:v>105.25</c:v>
                </c:pt>
                <c:pt idx="28" formatCode="General">
                  <c:v>110.21</c:v>
                </c:pt>
                <c:pt idx="29" formatCode="General">
                  <c:v>107.88</c:v>
                </c:pt>
                <c:pt idx="30" formatCode="General">
                  <c:v>112.53</c:v>
                </c:pt>
                <c:pt idx="31" formatCode="General">
                  <c:v>110.5</c:v>
                </c:pt>
                <c:pt idx="32" formatCode="General">
                  <c:v>108.74</c:v>
                </c:pt>
                <c:pt idx="33" formatCode="General">
                  <c:v>112.79</c:v>
                </c:pt>
                <c:pt idx="34" formatCode="General">
                  <c:v>107.4</c:v>
                </c:pt>
                <c:pt idx="35" formatCode="General">
                  <c:v>112.03</c:v>
                </c:pt>
                <c:pt idx="36" formatCode="General">
                  <c:v>108.07</c:v>
                </c:pt>
                <c:pt idx="37" formatCode="General">
                  <c:v>90.2</c:v>
                </c:pt>
                <c:pt idx="38" formatCode="General">
                  <c:v>111.89</c:v>
                </c:pt>
                <c:pt idx="39" formatCode="General">
                  <c:v>106.44</c:v>
                </c:pt>
                <c:pt idx="40" formatCode="General">
                  <c:v>106.47</c:v>
                </c:pt>
                <c:pt idx="41" formatCode="General">
                  <c:v>106.67</c:v>
                </c:pt>
                <c:pt idx="42" formatCode="General">
                  <c:v>109.43</c:v>
                </c:pt>
                <c:pt idx="43" formatCode="General">
                  <c:v>103.97</c:v>
                </c:pt>
                <c:pt idx="44" formatCode="General">
                  <c:v>102.66</c:v>
                </c:pt>
                <c:pt idx="45" formatCode="General">
                  <c:v>105.69</c:v>
                </c:pt>
                <c:pt idx="46" formatCode="General">
                  <c:v>102.24</c:v>
                </c:pt>
                <c:pt idx="47" formatCode="General">
                  <c:v>105.48</c:v>
                </c:pt>
                <c:pt idx="48" formatCode="General">
                  <c:v>101.95</c:v>
                </c:pt>
                <c:pt idx="49" formatCode="General">
                  <c:v>86.76</c:v>
                </c:pt>
                <c:pt idx="50" formatCode="General">
                  <c:v>109.35</c:v>
                </c:pt>
                <c:pt idx="51" formatCode="General">
                  <c:v>102.66</c:v>
                </c:pt>
                <c:pt idx="52" formatCode="General">
                  <c:v>108.78</c:v>
                </c:pt>
                <c:pt idx="53" formatCode="General">
                  <c:v>107.96</c:v>
                </c:pt>
                <c:pt idx="54" formatCode="General">
                  <c:v>109.24</c:v>
                </c:pt>
                <c:pt idx="55" formatCode="General">
                  <c:v>112.17</c:v>
                </c:pt>
                <c:pt idx="56" formatCode="General">
                  <c:v>106.97</c:v>
                </c:pt>
                <c:pt idx="57" formatCode="General">
                  <c:v>109.13</c:v>
                </c:pt>
                <c:pt idx="58" formatCode="General">
                  <c:v>111.38</c:v>
                </c:pt>
                <c:pt idx="59" formatCode="General">
                  <c:v>112.07</c:v>
                </c:pt>
                <c:pt idx="60" formatCode="General">
                  <c:v>104.46</c:v>
                </c:pt>
                <c:pt idx="61" formatCode="General">
                  <c:v>96.05</c:v>
                </c:pt>
                <c:pt idx="62" formatCode="General">
                  <c:v>112.87</c:v>
                </c:pt>
                <c:pt idx="63" formatCode="General">
                  <c:v>102.05</c:v>
                </c:pt>
                <c:pt idx="64" formatCode="General">
                  <c:v>109.63</c:v>
                </c:pt>
              </c:numCache>
            </c:numRef>
          </c:val>
        </c:ser>
        <c:dLbls>
          <c:showLegendKey val="0"/>
          <c:showVal val="0"/>
          <c:showCatName val="0"/>
          <c:showSerName val="0"/>
          <c:showPercent val="0"/>
          <c:showBubbleSize val="0"/>
        </c:dLbls>
        <c:gapWidth val="150"/>
        <c:axId val="190247296"/>
        <c:axId val="190249600"/>
      </c:barChart>
      <c:lineChart>
        <c:grouping val="standard"/>
        <c:varyColors val="0"/>
        <c:ser>
          <c:idx val="0"/>
          <c:order val="1"/>
          <c:spPr>
            <a:ln w="15875">
              <a:solidFill>
                <a:srgbClr val="C0504D"/>
              </a:solidFill>
              <a:prstDash val="solid"/>
            </a:ln>
            <a:effectLst/>
          </c:spPr>
          <c:marker>
            <c:symbol val="circle"/>
            <c:size val="5"/>
            <c:spPr>
              <a:solidFill>
                <a:sysClr val="window" lastClr="FFFFFF"/>
              </a:solidFill>
              <a:ln w="12700">
                <a:solidFill>
                  <a:srgbClr val="C0504D"/>
                </a:solidFill>
                <a:prstDash val="solid"/>
              </a:ln>
              <a:effectLst/>
            </c:spPr>
          </c:marker>
          <c:cat>
            <c:strRef>
              <c:f>Sheet1!$A$50:$A$133</c:f>
              <c:strCache>
                <c:ptCount val="65"/>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strCache>
            </c:strRef>
          </c:cat>
          <c:val>
            <c:numRef>
              <c:f>Sheet1!$C$69:$C$133</c:f>
              <c:numCache>
                <c:formatCode>0.00_ </c:formatCode>
                <c:ptCount val="65"/>
                <c:pt idx="0">
                  <c:v>-16.772762345678998</c:v>
                </c:pt>
                <c:pt idx="1">
                  <c:v>8.4279527098209002</c:v>
                </c:pt>
                <c:pt idx="2">
                  <c:v>-3.00688884751442</c:v>
                </c:pt>
                <c:pt idx="3">
                  <c:v>-2.3895094706168001</c:v>
                </c:pt>
                <c:pt idx="4">
                  <c:v>-0.17178850925749101</c:v>
                </c:pt>
                <c:pt idx="5">
                  <c:v>-2.3464998044583401</c:v>
                </c:pt>
                <c:pt idx="6">
                  <c:v>-3.8565368299267197E-2</c:v>
                </c:pt>
                <c:pt idx="7">
                  <c:v>1.51691948658109</c:v>
                </c:pt>
                <c:pt idx="8">
                  <c:v>2.4390243902439002</c:v>
                </c:pt>
                <c:pt idx="9">
                  <c:v>3.9468344155844099</c:v>
                </c:pt>
                <c:pt idx="10">
                  <c:v>5.9608915054667699</c:v>
                </c:pt>
                <c:pt idx="11">
                  <c:v>2.1044992743105899</c:v>
                </c:pt>
                <c:pt idx="12">
                  <c:v>19.063622667748199</c:v>
                </c:pt>
                <c:pt idx="13">
                  <c:v>-11.227464104501699</c:v>
                </c:pt>
                <c:pt idx="14">
                  <c:v>-3.21527977732987</c:v>
                </c:pt>
                <c:pt idx="15">
                  <c:v>-0.92546522041994195</c:v>
                </c:pt>
                <c:pt idx="16">
                  <c:v>-0.43021032504780099</c:v>
                </c:pt>
                <c:pt idx="17">
                  <c:v>-0.52062474969963901</c:v>
                </c:pt>
                <c:pt idx="18">
                  <c:v>2.0736882716049299</c:v>
                </c:pt>
                <c:pt idx="19">
                  <c:v>-0.96743295019157005</c:v>
                </c:pt>
                <c:pt idx="20">
                  <c:v>-0.21186440677966101</c:v>
                </c:pt>
                <c:pt idx="21">
                  <c:v>0.81991215226939895</c:v>
                </c:pt>
                <c:pt idx="22">
                  <c:v>-0.21827562258160499</c:v>
                </c:pt>
                <c:pt idx="23">
                  <c:v>5.5538633363793197</c:v>
                </c:pt>
                <c:pt idx="24">
                  <c:v>-1.4502627992992001</c:v>
                </c:pt>
                <c:pt idx="25">
                  <c:v>7.3574121366897698</c:v>
                </c:pt>
                <c:pt idx="26">
                  <c:v>3.8873462911543002</c:v>
                </c:pt>
                <c:pt idx="27">
                  <c:v>5.7151466452390496</c:v>
                </c:pt>
                <c:pt idx="28">
                  <c:v>5.8185309649543902</c:v>
                </c:pt>
                <c:pt idx="29">
                  <c:v>8.57487922705314</c:v>
                </c:pt>
                <c:pt idx="30">
                  <c:v>6.3309080600963803</c:v>
                </c:pt>
                <c:pt idx="31">
                  <c:v>6.8768739723377497</c:v>
                </c:pt>
                <c:pt idx="32">
                  <c:v>9.9383277727226709</c:v>
                </c:pt>
                <c:pt idx="33">
                  <c:v>9.1974053635395396</c:v>
                </c:pt>
                <c:pt idx="34">
                  <c:v>6.7912896490006904</c:v>
                </c:pt>
                <c:pt idx="35">
                  <c:v>7.7626010003847599</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formatCode="General">
                  <c:v>-5.66</c:v>
                </c:pt>
                <c:pt idx="49" formatCode="General">
                  <c:v>-3.81</c:v>
                </c:pt>
                <c:pt idx="50" formatCode="General">
                  <c:v>-2.27</c:v>
                </c:pt>
                <c:pt idx="51" formatCode="General">
                  <c:v>-3.55</c:v>
                </c:pt>
                <c:pt idx="52" formatCode="General">
                  <c:v>2.17</c:v>
                </c:pt>
                <c:pt idx="53" formatCode="General">
                  <c:v>1.21</c:v>
                </c:pt>
                <c:pt idx="54" formatCode="General">
                  <c:v>-0.17</c:v>
                </c:pt>
                <c:pt idx="55" formatCode="General">
                  <c:v>7.89</c:v>
                </c:pt>
                <c:pt idx="56" formatCode="General">
                  <c:v>4.2</c:v>
                </c:pt>
                <c:pt idx="57" formatCode="General">
                  <c:v>3.25</c:v>
                </c:pt>
                <c:pt idx="58" formatCode="General">
                  <c:v>8.94</c:v>
                </c:pt>
                <c:pt idx="59" formatCode="General">
                  <c:v>6.25</c:v>
                </c:pt>
                <c:pt idx="60" formatCode="General">
                  <c:v>2.46</c:v>
                </c:pt>
                <c:pt idx="61" formatCode="General">
                  <c:v>10.71</c:v>
                </c:pt>
                <c:pt idx="62" formatCode="General">
                  <c:v>3.22</c:v>
                </c:pt>
                <c:pt idx="63" formatCode="General">
                  <c:v>-0.59</c:v>
                </c:pt>
                <c:pt idx="64" formatCode="General">
                  <c:v>0.78</c:v>
                </c:pt>
              </c:numCache>
            </c:numRef>
          </c:val>
          <c:smooth val="0"/>
        </c:ser>
        <c:dLbls>
          <c:showLegendKey val="0"/>
          <c:showVal val="0"/>
          <c:showCatName val="0"/>
          <c:showSerName val="0"/>
          <c:showPercent val="0"/>
          <c:showBubbleSize val="0"/>
        </c:dLbls>
        <c:marker val="1"/>
        <c:smooth val="0"/>
        <c:axId val="190329600"/>
        <c:axId val="190331136"/>
      </c:lineChart>
      <c:catAx>
        <c:axId val="1902472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90249600"/>
        <c:crosses val="autoZero"/>
        <c:auto val="0"/>
        <c:lblAlgn val="ctr"/>
        <c:lblOffset val="100"/>
        <c:tickLblSkip val="3"/>
        <c:tickMarkSkip val="1"/>
        <c:noMultiLvlLbl val="0"/>
      </c:catAx>
      <c:valAx>
        <c:axId val="190249600"/>
        <c:scaling>
          <c:orientation val="minMax"/>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0247296"/>
        <c:crosses val="autoZero"/>
        <c:crossBetween val="between"/>
        <c:majorUnit val="10"/>
      </c:valAx>
      <c:catAx>
        <c:axId val="190329600"/>
        <c:scaling>
          <c:orientation val="minMax"/>
        </c:scaling>
        <c:delete val="1"/>
        <c:axPos val="b"/>
        <c:majorTickMark val="out"/>
        <c:minorTickMark val="none"/>
        <c:tickLblPos val="nextTo"/>
        <c:crossAx val="190331136"/>
        <c:crosses val="autoZero"/>
        <c:auto val="0"/>
        <c:lblAlgn val="ctr"/>
        <c:lblOffset val="100"/>
        <c:noMultiLvlLbl val="0"/>
      </c:catAx>
      <c:valAx>
        <c:axId val="190331136"/>
        <c:scaling>
          <c:orientation val="minMax"/>
          <c:max val="20"/>
          <c:min val="-1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0329600"/>
        <c:crosses val="max"/>
        <c:crossBetween val="between"/>
        <c:majorUnit val="5"/>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工作表1!$A$63:$A$127</c:f>
              <c:strCache>
                <c:ptCount val="65"/>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strCache>
            </c:strRef>
          </c:cat>
          <c:val>
            <c:numRef>
              <c:f>工作表1!$B$63:$B$127</c:f>
              <c:numCache>
                <c:formatCode>General</c:formatCode>
                <c:ptCount val="65"/>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2.75</c:v>
                </c:pt>
                <c:pt idx="61">
                  <c:v>2.46</c:v>
                </c:pt>
                <c:pt idx="62">
                  <c:v>1.71</c:v>
                </c:pt>
                <c:pt idx="63">
                  <c:v>1.04</c:v>
                </c:pt>
                <c:pt idx="64">
                  <c:v>-1.1200000000000001</c:v>
                </c:pt>
              </c:numCache>
            </c:numRef>
          </c:val>
          <c:smooth val="0"/>
        </c:ser>
        <c:ser>
          <c:idx val="1"/>
          <c:order val="1"/>
          <c:tx>
            <c:strRef>
              <c:f>工作表1!$C$2</c:f>
              <c:strCache>
                <c:ptCount val="1"/>
                <c:pt idx="0">
                  <c:v>CPI年增率(%)</c:v>
                </c:pt>
              </c:strCache>
            </c:strRef>
          </c:tx>
          <c:marker>
            <c:symbol val="triangle"/>
            <c:size val="4"/>
          </c:marker>
          <c:cat>
            <c:strRef>
              <c:f>工作表1!$A$63:$A$127</c:f>
              <c:strCache>
                <c:ptCount val="65"/>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strCache>
            </c:strRef>
          </c:cat>
          <c:val>
            <c:numRef>
              <c:f>工作表1!$C$63:$C$127</c:f>
              <c:numCache>
                <c:formatCode>General</c:formatCode>
                <c:ptCount val="65"/>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0.17</c:v>
                </c:pt>
                <c:pt idx="63">
                  <c:v>0.1</c:v>
                </c:pt>
                <c:pt idx="64">
                  <c:v>0.59</c:v>
                </c:pt>
              </c:numCache>
            </c:numRef>
          </c:val>
          <c:smooth val="0"/>
        </c:ser>
        <c:dLbls>
          <c:showLegendKey val="0"/>
          <c:showVal val="0"/>
          <c:showCatName val="0"/>
          <c:showSerName val="0"/>
          <c:showPercent val="0"/>
          <c:showBubbleSize val="0"/>
        </c:dLbls>
        <c:marker val="1"/>
        <c:smooth val="0"/>
        <c:axId val="190489344"/>
        <c:axId val="190490880"/>
      </c:lineChart>
      <c:dateAx>
        <c:axId val="19048934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0490880"/>
        <c:crosses val="autoZero"/>
        <c:auto val="0"/>
        <c:lblOffset val="100"/>
        <c:baseTimeUnit val="days"/>
        <c:majorUnit val="3"/>
      </c:dateAx>
      <c:valAx>
        <c:axId val="190490880"/>
        <c:scaling>
          <c:orientation val="minMax"/>
          <c:max val="8"/>
          <c:min val="-12"/>
        </c:scaling>
        <c:delete val="0"/>
        <c:axPos val="l"/>
        <c:majorGridlines/>
        <c:minorGridlines/>
        <c:numFmt formatCode="General" sourceLinked="1"/>
        <c:majorTickMark val="out"/>
        <c:minorTickMark val="none"/>
        <c:tickLblPos val="nextTo"/>
        <c:crossAx val="1904893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物價圖!$D$120:$D$184</c:f>
              <c:numCache>
                <c:formatCode>General</c:formatCode>
                <c:ptCount val="65"/>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10.45</c:v>
                </c:pt>
                <c:pt idx="61" formatCode="0.00_ ">
                  <c:v>12.36</c:v>
                </c:pt>
                <c:pt idx="62" formatCode="0.00_ ">
                  <c:v>9.81</c:v>
                </c:pt>
                <c:pt idx="63" formatCode="0.00_ ">
                  <c:v>7.77</c:v>
                </c:pt>
                <c:pt idx="64" formatCode="0.00_ ">
                  <c:v>5.95</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物價圖!$E$120:$E$184</c:f>
              <c:numCache>
                <c:formatCode>General</c:formatCode>
                <c:ptCount val="65"/>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4.72</c:v>
                </c:pt>
                <c:pt idx="61" formatCode="0.00_ ">
                  <c:v>4.3</c:v>
                </c:pt>
                <c:pt idx="62" formatCode="0.00_ ">
                  <c:v>2.99</c:v>
                </c:pt>
                <c:pt idx="63" formatCode="0.00_ ">
                  <c:v>1.29</c:v>
                </c:pt>
                <c:pt idx="64" formatCode="0.00_ ">
                  <c:v>-1.91</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5134892898993653"/>
                  <c:y val="7.01053473158538E-2"/>
                </c:manualLayout>
              </c:layout>
              <c:tx>
                <c:rich>
                  <a:bodyPr/>
                  <a:lstStyle/>
                  <a:p>
                    <a:r>
                      <a:rPr lang="en-US" altLang="zh-TW" sz="1050"/>
                      <a:t>-3.38</a:t>
                    </a:r>
                    <a:endParaRPr lang="en-US" altLang="en-US" sz="1050"/>
                  </a:p>
                </c:rich>
              </c:tx>
              <c:showLegendKey val="0"/>
              <c:showVal val="1"/>
              <c:showCatName val="0"/>
              <c:showSerName val="0"/>
              <c:showPercent val="0"/>
              <c:showBubbleSize val="0"/>
            </c:dLbl>
            <c:dLbl>
              <c:idx val="59"/>
              <c:layout>
                <c:manualLayout>
                  <c:x val="4.9405741655174459E-2"/>
                  <c:y val="-8.182552355780702E-2"/>
                </c:manualLayout>
              </c:layout>
              <c:tx>
                <c:rich>
                  <a:bodyPr/>
                  <a:lstStyle/>
                  <a:p>
                    <a:r>
                      <a:rPr lang="en-US" altLang="en-US" sz="1050"/>
                      <a:t>4.40</a:t>
                    </a:r>
                  </a:p>
                </c:rich>
              </c:tx>
              <c:showLegendKey val="0"/>
              <c:showVal val="1"/>
              <c:showCatName val="0"/>
              <c:showSerName val="0"/>
              <c:showPercent val="0"/>
              <c:showBubbleSize val="0"/>
            </c:dLbl>
            <c:dLbl>
              <c:idx val="60"/>
              <c:layout>
                <c:manualLayout>
                  <c:x val="2.1173217240651687E-2"/>
                  <c:y val="-0.12274883908742176"/>
                </c:manualLayout>
              </c:layout>
              <c:tx>
                <c:rich>
                  <a:bodyPr/>
                  <a:lstStyle/>
                  <a:p>
                    <a:r>
                      <a:rPr lang="en-US" altLang="en-US" sz="1050"/>
                      <a:t>5.95</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物價圖!$F$120:$F$184</c:f>
              <c:numCache>
                <c:formatCode>General</c:formatCode>
                <c:ptCount val="65"/>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4.6900000000000004</c:v>
                </c:pt>
                <c:pt idx="61" formatCode="0.00_ ">
                  <c:v>6.26</c:v>
                </c:pt>
                <c:pt idx="62" formatCode="0.00_ ">
                  <c:v>5.59</c:v>
                </c:pt>
                <c:pt idx="63" formatCode="0.00_ ">
                  <c:v>5.18</c:v>
                </c:pt>
                <c:pt idx="64" formatCode="0.00_ ">
                  <c:v>4.4000000000000004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10577538879574"/>
                  <c:y val="4.0837967806471746E-2"/>
                </c:manualLayout>
              </c:layout>
              <c:tx>
                <c:rich>
                  <a:bodyPr/>
                  <a:lstStyle/>
                  <a:p>
                    <a:r>
                      <a:rPr lang="en-US" altLang="en-US"/>
                      <a:t>-1.91</a:t>
                    </a:r>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物價圖!$G$120:$G$184</c:f>
              <c:numCache>
                <c:formatCode>General</c:formatCode>
                <c:ptCount val="65"/>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-0.73</c:v>
                </c:pt>
                <c:pt idx="61" formatCode="0.00_ ">
                  <c:v>-1.39</c:v>
                </c:pt>
                <c:pt idx="62" formatCode="0.00_ ">
                  <c:v>-0.97</c:v>
                </c:pt>
                <c:pt idx="63" formatCode="0.00_ ">
                  <c:v>-1.17</c:v>
                </c:pt>
                <c:pt idx="64" formatCode="0.00_ ">
                  <c:v>-1.17</c:v>
                </c:pt>
              </c:numCache>
            </c:numRef>
          </c:val>
          <c:smooth val="0"/>
        </c:ser>
        <c:dLbls>
          <c:showLegendKey val="0"/>
          <c:showVal val="0"/>
          <c:showCatName val="0"/>
          <c:showSerName val="0"/>
          <c:showPercent val="0"/>
          <c:showBubbleSize val="0"/>
        </c:dLbls>
        <c:marker val="1"/>
        <c:smooth val="0"/>
        <c:axId val="191929344"/>
        <c:axId val="191947520"/>
      </c:lineChart>
      <c:catAx>
        <c:axId val="19192934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1947520"/>
        <c:crosses val="autoZero"/>
        <c:auto val="1"/>
        <c:lblAlgn val="ctr"/>
        <c:lblOffset val="0"/>
        <c:tickLblSkip val="3"/>
        <c:tickMarkSkip val="1"/>
        <c:noMultiLvlLbl val="1"/>
      </c:catAx>
      <c:valAx>
        <c:axId val="191947520"/>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9192934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原油價格!$A$103:$B$168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原油價格!$C$104:$C$168</c:f>
              <c:numCache>
                <c:formatCode>General</c:formatCode>
                <c:ptCount val="65"/>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pt idx="62">
                  <c:v>51.17</c:v>
                </c:pt>
                <c:pt idx="63">
                  <c:v>48.5</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原油價格!$A$103:$B$168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原油價格!$E$104:$E$168</c:f>
              <c:numCache>
                <c:formatCode>General</c:formatCode>
                <c:ptCount val="65"/>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pt idx="62">
                  <c:v>53.06</c:v>
                </c:pt>
                <c:pt idx="63">
                  <c:v>50.82</c:v>
                </c:pt>
              </c:numCache>
            </c:numRef>
          </c:val>
          <c:smooth val="0"/>
        </c:ser>
        <c:ser>
          <c:idx val="0"/>
          <c:order val="2"/>
          <c:tx>
            <c:strRef>
              <c:f>原油價格!$D$6</c:f>
              <c:strCache>
                <c:ptCount val="1"/>
                <c:pt idx="0">
                  <c:v>北海布蘭特</c:v>
                </c:pt>
              </c:strCache>
            </c:strRef>
          </c:tx>
          <c:cat>
            <c:multiLvlStrRef>
              <c:f>原油價格!$A$103:$B$168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原油價格!$D$104:$D$168</c:f>
              <c:numCache>
                <c:formatCode>General</c:formatCode>
                <c:ptCount val="65"/>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pt idx="62">
                  <c:v>52.46</c:v>
                </c:pt>
                <c:pt idx="63">
                  <c:v>50.3</c:v>
                </c:pt>
              </c:numCache>
            </c:numRef>
          </c:val>
          <c:smooth val="0"/>
        </c:ser>
        <c:dLbls>
          <c:showLegendKey val="0"/>
          <c:showVal val="0"/>
          <c:showCatName val="0"/>
          <c:showSerName val="0"/>
          <c:showPercent val="0"/>
          <c:showBubbleSize val="0"/>
        </c:dLbls>
        <c:marker val="1"/>
        <c:smooth val="0"/>
        <c:axId val="190554496"/>
        <c:axId val="190556032"/>
      </c:lineChart>
      <c:catAx>
        <c:axId val="19055449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0556032"/>
        <c:crosses val="autoZero"/>
        <c:auto val="1"/>
        <c:lblAlgn val="ctr"/>
        <c:lblOffset val="100"/>
        <c:tickLblSkip val="2"/>
        <c:tickMarkSkip val="2"/>
        <c:noMultiLvlLbl val="1"/>
      </c:catAx>
      <c:valAx>
        <c:axId val="19055603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9055449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Sheet1!$A$63:$B$127</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Sheet1!$C$63:$C$127</c:f>
              <c:numCache>
                <c:formatCode>General</c:formatCode>
                <c:ptCount val="65"/>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pt idx="63">
                  <c:v>3.58</c:v>
                </c:pt>
                <c:pt idx="64">
                  <c:v>3.72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Sheet1!$A$63:$B$127</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Sheet1!$D$63:$D$127</c:f>
              <c:numCache>
                <c:formatCode>General</c:formatCode>
                <c:ptCount val="65"/>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pt idx="63">
                  <c:v>9.4499999999999993</c:v>
                </c:pt>
                <c:pt idx="64">
                  <c:v>9.16</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Sheet1!$A$63:$B$127</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Sheet1!$E$63:$E$127</c:f>
              <c:numCache>
                <c:formatCode>General</c:formatCode>
                <c:ptCount val="65"/>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pt idx="63">
                  <c:v>4.1900000000000004</c:v>
                </c:pt>
                <c:pt idx="64">
                  <c:v>4.29</c:v>
                </c:pt>
              </c:numCache>
            </c:numRef>
          </c:val>
          <c:smooth val="0"/>
        </c:ser>
        <c:dLbls>
          <c:showLegendKey val="0"/>
          <c:showVal val="0"/>
          <c:showCatName val="0"/>
          <c:showSerName val="0"/>
          <c:showPercent val="0"/>
          <c:showBubbleSize val="0"/>
        </c:dLbls>
        <c:marker val="1"/>
        <c:smooth val="0"/>
        <c:axId val="191781888"/>
        <c:axId val="191812736"/>
      </c:lineChart>
      <c:catAx>
        <c:axId val="1917818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1812736"/>
        <c:crosses val="autoZero"/>
        <c:auto val="1"/>
        <c:lblAlgn val="ctr"/>
        <c:lblOffset val="50"/>
        <c:tickLblSkip val="2"/>
        <c:tickMarkSkip val="1"/>
        <c:noMultiLvlLbl val="1"/>
      </c:catAx>
      <c:valAx>
        <c:axId val="19181273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917818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0">
                        <a:latin typeface="Times New Roman" panose="02020603050405020304" pitchFamily="18" charset="0"/>
                        <a:cs typeface="Times New Roman" panose="02020603050405020304" pitchFamily="18" charset="0"/>
                      </a:rPr>
                      <a:t>3.94</a:t>
                    </a:r>
                    <a:r>
                      <a:rPr lang="en-US" altLang="zh-TW">
                        <a:latin typeface="Times New Roman" panose="02020603050405020304" pitchFamily="18" charset="0"/>
                        <a:cs typeface="Times New Roman" panose="02020603050405020304" pitchFamily="18" charset="0"/>
                      </a:rPr>
                      <a:t>
(106/5)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'M2&amp;M1B'!$B$199:$B$263</c:f>
              <c:strCache>
                <c:ptCount val="65"/>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strCache>
            </c:strRef>
          </c:cat>
          <c:val>
            <c:numRef>
              <c:f>'M2&amp;M1B'!$C$199:$C$263</c:f>
              <c:numCache>
                <c:formatCode>0.00_ </c:formatCode>
                <c:ptCount val="65"/>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pt idx="63">
                  <c:v>4.21</c:v>
                </c:pt>
                <c:pt idx="64">
                  <c:v>3.94</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0" i="0">
                        <a:latin typeface="Times New Roman" panose="02020603050405020304" pitchFamily="18" charset="0"/>
                        <a:cs typeface="Times New Roman" panose="02020603050405020304" pitchFamily="18" charset="0"/>
                      </a:rPr>
                      <a:t>4.07</a:t>
                    </a:r>
                    <a:r>
                      <a:rPr lang="en-US" altLang="zh-TW">
                        <a:latin typeface="Times New Roman" panose="02020603050405020304" pitchFamily="18" charset="0"/>
                        <a:cs typeface="Times New Roman" panose="02020603050405020304" pitchFamily="18" charset="0"/>
                      </a:rPr>
                      <a:t>
(106/5)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'M2&amp;M1B'!$B$199:$B$263</c:f>
              <c:strCache>
                <c:ptCount val="65"/>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strCache>
            </c:strRef>
          </c:cat>
          <c:val>
            <c:numRef>
              <c:f>'M2&amp;M1B'!$D$199:$D$263</c:f>
              <c:numCache>
                <c:formatCode>0.00_ </c:formatCode>
                <c:ptCount val="65"/>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pt idx="63">
                  <c:v>3.63</c:v>
                </c:pt>
                <c:pt idx="64">
                  <c:v>4.07</c:v>
                </c:pt>
              </c:numCache>
            </c:numRef>
          </c:val>
          <c:smooth val="0"/>
        </c:ser>
        <c:dLbls>
          <c:showLegendKey val="0"/>
          <c:showVal val="0"/>
          <c:showCatName val="0"/>
          <c:showSerName val="0"/>
          <c:showPercent val="0"/>
          <c:showBubbleSize val="0"/>
        </c:dLbls>
        <c:marker val="1"/>
        <c:smooth val="0"/>
        <c:axId val="191961728"/>
        <c:axId val="191971712"/>
      </c:lineChart>
      <c:catAx>
        <c:axId val="19196172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1971712"/>
        <c:crossesAt val="0"/>
        <c:auto val="1"/>
        <c:lblAlgn val="ctr"/>
        <c:lblOffset val="100"/>
        <c:tickLblSkip val="3"/>
        <c:tickMarkSkip val="5"/>
        <c:noMultiLvlLbl val="0"/>
      </c:catAx>
      <c:valAx>
        <c:axId val="191971712"/>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196172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Sheet5!$H$122:$I$186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4</c:v>
                  </c:pt>
                </c:lvl>
                <c:lvl>
                  <c:pt idx="0">
                    <c:v>101年</c:v>
                  </c:pt>
                  <c:pt idx="12">
                    <c:v>102年</c:v>
                  </c:pt>
                  <c:pt idx="19">
                    <c:v>8</c:v>
                  </c:pt>
                  <c:pt idx="20">
                    <c:v>9</c:v>
                  </c:pt>
                  <c:pt idx="24">
                    <c:v>103年</c:v>
                  </c:pt>
                  <c:pt idx="36">
                    <c:v>104年</c:v>
                  </c:pt>
                  <c:pt idx="48">
                    <c:v>105年</c:v>
                  </c:pt>
                  <c:pt idx="60">
                    <c:v>106年</c:v>
                  </c:pt>
                </c:lvl>
              </c:multiLvlStrCache>
            </c:multiLvlStrRef>
          </c:cat>
          <c:val>
            <c:numRef>
              <c:f>Sheet5!$J$122:$J$186</c:f>
              <c:numCache>
                <c:formatCode>0.000_ </c:formatCode>
                <c:ptCount val="65"/>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pt idx="63">
                  <c:v>0.17499999999999999</c:v>
                </c:pt>
                <c:pt idx="64">
                  <c:v>0.17199999999999999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Sheet5!$H$122:$I$186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4</c:v>
                  </c:pt>
                </c:lvl>
                <c:lvl>
                  <c:pt idx="0">
                    <c:v>101年</c:v>
                  </c:pt>
                  <c:pt idx="12">
                    <c:v>102年</c:v>
                  </c:pt>
                  <c:pt idx="19">
                    <c:v>8</c:v>
                  </c:pt>
                  <c:pt idx="20">
                    <c:v>9</c:v>
                  </c:pt>
                  <c:pt idx="24">
                    <c:v>103年</c:v>
                  </c:pt>
                  <c:pt idx="36">
                    <c:v>104年</c:v>
                  </c:pt>
                  <c:pt idx="48">
                    <c:v>105年</c:v>
                  </c:pt>
                  <c:pt idx="60">
                    <c:v>106年</c:v>
                  </c:pt>
                </c:lvl>
              </c:multiLvlStrCache>
            </c:multiLvlStrRef>
          </c:cat>
          <c:val>
            <c:numRef>
              <c:f>Sheet5!$K$122:$K$186</c:f>
              <c:numCache>
                <c:formatCode>0.00_ </c:formatCode>
                <c:ptCount val="65"/>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0.64</c:v>
                </c:pt>
                <c:pt idx="61">
                  <c:v>0.6</c:v>
                </c:pt>
                <c:pt idx="62">
                  <c:v>0.62</c:v>
                </c:pt>
                <c:pt idx="63">
                  <c:v>0.56999999999999995</c:v>
                </c:pt>
                <c:pt idx="64">
                  <c:v>0.59</c:v>
                </c:pt>
              </c:numCache>
            </c:numRef>
          </c:val>
          <c:smooth val="0"/>
        </c:ser>
        <c:dLbls>
          <c:showLegendKey val="0"/>
          <c:showVal val="0"/>
          <c:showCatName val="0"/>
          <c:showSerName val="0"/>
          <c:showPercent val="0"/>
          <c:showBubbleSize val="0"/>
        </c:dLbls>
        <c:marker val="1"/>
        <c:smooth val="0"/>
        <c:axId val="191861888"/>
        <c:axId val="191863808"/>
      </c:lineChart>
      <c:catAx>
        <c:axId val="19186188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1863808"/>
        <c:crosses val="autoZero"/>
        <c:auto val="1"/>
        <c:lblAlgn val="ctr"/>
        <c:lblOffset val="100"/>
        <c:tickLblSkip val="3"/>
        <c:tickMarkSkip val="3"/>
        <c:noMultiLvlLbl val="1"/>
      </c:catAx>
      <c:valAx>
        <c:axId val="191863808"/>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9186188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_rels/drawing1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8564" y="14086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4,402.53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0.77557</cdr:x>
      <cdr:y>0</cdr:y>
    </cdr:from>
    <cdr:to>
      <cdr:x>0.96752</cdr:x>
      <cdr:y>0.20279</cdr:y>
    </cdr:to>
    <cdr:sp macro="" textlink="">
      <cdr:nvSpPr>
        <cdr:cNvPr id="2" name="橢圓形圖說文字 1"/>
        <cdr:cNvSpPr/>
      </cdr:nvSpPr>
      <cdr:spPr>
        <a:xfrm xmlns:a="http://schemas.openxmlformats.org/drawingml/2006/main">
          <a:off x="4188109" y="0"/>
          <a:ext cx="1036538" cy="608446"/>
        </a:xfrm>
        <a:prstGeom xmlns:a="http://schemas.openxmlformats.org/drawingml/2006/main" prst="wedgeEllipseCallout">
          <a:avLst>
            <a:gd name="adj1" fmla="val 51601"/>
            <a:gd name="adj2" fmla="val 7237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9,993.66</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(106/5)</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0.33843</cdr:x>
      <cdr:y>0.60126</cdr:y>
    </cdr:from>
    <cdr:to>
      <cdr:x>0.71397</cdr:x>
      <cdr:y>0.84376</cdr:y>
    </cdr:to>
    <cdr:sp macro="" textlink="">
      <cdr:nvSpPr>
        <cdr:cNvPr id="3" name="文字方塊 1"/>
        <cdr:cNvSpPr txBox="1"/>
      </cdr:nvSpPr>
      <cdr:spPr>
        <a:xfrm xmlns:a="http://schemas.openxmlformats.org/drawingml/2006/main">
          <a:off x="984250" y="1584479"/>
          <a:ext cx="1092200" cy="639033"/>
        </a:xfrm>
        <a:prstGeom xmlns:a="http://schemas.openxmlformats.org/drawingml/2006/main" prst="rect">
          <a:avLst/>
        </a:prstGeom>
      </cdr:spPr>
    </cdr:sp>
  </cdr:relSizeAnchor>
  <cdr:relSizeAnchor xmlns:cdr="http://schemas.openxmlformats.org/drawingml/2006/chartDrawing">
    <cdr:from>
      <cdr:x>0.05459</cdr:x>
      <cdr:y>0.72656</cdr:y>
    </cdr:from>
    <cdr:to>
      <cdr:x>0.43013</cdr:x>
      <cdr:y>0.96906</cdr:y>
    </cdr:to>
    <cdr:sp macro="" textlink="">
      <cdr:nvSpPr>
        <cdr:cNvPr id="4" name="文字方塊 1"/>
        <cdr:cNvSpPr txBox="1"/>
      </cdr:nvSpPr>
      <cdr:spPr>
        <a:xfrm xmlns:a="http://schemas.openxmlformats.org/drawingml/2006/main">
          <a:off x="158750" y="1914679"/>
          <a:ext cx="1092200" cy="639033"/>
        </a:xfrm>
        <a:prstGeom xmlns:a="http://schemas.openxmlformats.org/drawingml/2006/main" prst="rect">
          <a:avLst/>
        </a:prstGeom>
      </cdr:spPr>
    </cdr:sp>
  </cdr:relSizeAnchor>
  <cdr:relSizeAnchor xmlns:cdr="http://schemas.openxmlformats.org/drawingml/2006/chartDrawing">
    <cdr:from>
      <cdr:x>0.24698</cdr:x>
      <cdr:y>0.60605</cdr:y>
    </cdr:from>
    <cdr:to>
      <cdr:x>0.78781</cdr:x>
      <cdr:y>0.77956</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86923" y="1554755"/>
          <a:ext cx="1504218" cy="445121"/>
        </a:xfrm>
        <a:prstGeom xmlns:a="http://schemas.openxmlformats.org/drawingml/2006/main" prst="rect">
          <a:avLst/>
        </a:prstGeom>
      </cdr:spPr>
    </cdr:pic>
  </cdr:relSizeAnchor>
  <cdr:relSizeAnchor xmlns:cdr="http://schemas.openxmlformats.org/drawingml/2006/chartDrawing">
    <cdr:from>
      <cdr:x>0.20452</cdr:x>
      <cdr:y>0</cdr:y>
    </cdr:from>
    <cdr:to>
      <cdr:x>0.59592</cdr:x>
      <cdr:y>0.15282</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68824" y="0"/>
          <a:ext cx="1088610" cy="392034"/>
        </a:xfrm>
        <a:prstGeom xmlns:a="http://schemas.openxmlformats.org/drawingml/2006/main" prst="rect">
          <a:avLst/>
        </a:prstGeom>
      </cdr:spPr>
    </cdr:pic>
  </cdr:relSizeAnchor>
  <cdr:relSizeAnchor xmlns:cdr="http://schemas.openxmlformats.org/drawingml/2006/chartDrawing">
    <cdr:from>
      <cdr:x>0.56953</cdr:x>
      <cdr:y>0.05579</cdr:y>
    </cdr:from>
    <cdr:to>
      <cdr:x>1</cdr:x>
      <cdr:y>0.21535</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1584021" y="143124"/>
          <a:ext cx="1197279" cy="409326"/>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0.33843</cdr:x>
      <cdr:y>0.60126</cdr:y>
    </cdr:from>
    <cdr:to>
      <cdr:x>0.71397</cdr:x>
      <cdr:y>0.84376</cdr:y>
    </cdr:to>
    <cdr:sp macro="" textlink="">
      <cdr:nvSpPr>
        <cdr:cNvPr id="3" name="文字方塊 1"/>
        <cdr:cNvSpPr txBox="1"/>
      </cdr:nvSpPr>
      <cdr:spPr>
        <a:xfrm xmlns:a="http://schemas.openxmlformats.org/drawingml/2006/main">
          <a:off x="984250" y="1584479"/>
          <a:ext cx="1092200" cy="639033"/>
        </a:xfrm>
        <a:prstGeom xmlns:a="http://schemas.openxmlformats.org/drawingml/2006/main" prst="rect">
          <a:avLst/>
        </a:prstGeom>
      </cdr:spPr>
    </cdr:sp>
  </cdr:relSizeAnchor>
  <cdr:relSizeAnchor xmlns:cdr="http://schemas.openxmlformats.org/drawingml/2006/chartDrawing">
    <cdr:from>
      <cdr:x>0.05459</cdr:x>
      <cdr:y>0.72656</cdr:y>
    </cdr:from>
    <cdr:to>
      <cdr:x>0.43013</cdr:x>
      <cdr:y>0.96906</cdr:y>
    </cdr:to>
    <cdr:sp macro="" textlink="">
      <cdr:nvSpPr>
        <cdr:cNvPr id="4" name="文字方塊 1"/>
        <cdr:cNvSpPr txBox="1"/>
      </cdr:nvSpPr>
      <cdr:spPr>
        <a:xfrm xmlns:a="http://schemas.openxmlformats.org/drawingml/2006/main">
          <a:off x="158750" y="1914679"/>
          <a:ext cx="1092200" cy="639033"/>
        </a:xfrm>
        <a:prstGeom xmlns:a="http://schemas.openxmlformats.org/drawingml/2006/main" prst="rect">
          <a:avLst/>
        </a:prstGeom>
      </cdr:spPr>
    </cdr:sp>
  </cdr:relSizeAnchor>
  <cdr:relSizeAnchor xmlns:cdr="http://schemas.openxmlformats.org/drawingml/2006/chartDrawing">
    <cdr:from>
      <cdr:x>0.52968</cdr:x>
      <cdr:y>0</cdr:y>
    </cdr:from>
    <cdr:to>
      <cdr:x>0.84532</cdr:x>
      <cdr:y>0.17823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73200" y="0"/>
          <a:ext cx="877900" cy="45724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0.78386</cdr:x>
      <cdr:y>0.16247</cdr:y>
    </cdr:from>
    <cdr:to>
      <cdr:x>0.90546</cdr:x>
      <cdr:y>0.27691</cdr:y>
    </cdr:to>
    <cdr:sp macro="" textlink="">
      <cdr:nvSpPr>
        <cdr:cNvPr id="2" name="文字方塊 1"/>
        <cdr:cNvSpPr txBox="1"/>
      </cdr:nvSpPr>
      <cdr:spPr>
        <a:xfrm xmlns:a="http://schemas.openxmlformats.org/drawingml/2006/main">
          <a:off x="4232884" y="275457"/>
          <a:ext cx="656616" cy="1940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109.63</a:t>
          </a:r>
          <a:endParaRPr lang="zh-TW" altLang="en-US" sz="1100" b="1"/>
        </a:p>
      </cdr:txBody>
    </cdr:sp>
  </cdr:relSizeAnchor>
  <cdr:relSizeAnchor xmlns:cdr="http://schemas.openxmlformats.org/drawingml/2006/chartDrawing">
    <cdr:from>
      <cdr:x>0.87253</cdr:x>
      <cdr:y>0.48779</cdr:y>
    </cdr:from>
    <cdr:to>
      <cdr:x>0.93638</cdr:x>
      <cdr:y>0.60987</cdr:y>
    </cdr:to>
    <cdr:sp macro="" textlink="">
      <cdr:nvSpPr>
        <cdr:cNvPr id="4" name="文字方塊 3"/>
        <cdr:cNvSpPr txBox="1"/>
      </cdr:nvSpPr>
      <cdr:spPr>
        <a:xfrm xmlns:a="http://schemas.openxmlformats.org/drawingml/2006/main">
          <a:off x="4711697" y="827019"/>
          <a:ext cx="344792" cy="2069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0.78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9.16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5</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5)</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4.29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5)</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0.41641</cdr:y>
    </cdr:from>
    <cdr:to>
      <cdr:x>0.13991</cdr:x>
      <cdr:y>0.50728</cdr:y>
    </cdr:to>
    <cdr:sp macro="" textlink="">
      <cdr:nvSpPr>
        <cdr:cNvPr id="9" name="Text Box 3"/>
        <cdr:cNvSpPr txBox="1">
          <a:spLocks xmlns:a="http://schemas.openxmlformats.org/drawingml/2006/main" noChangeArrowheads="1"/>
        </cdr:cNvSpPr>
      </cdr:nvSpPr>
      <cdr:spPr bwMode="auto">
        <a:xfrm xmlns:a="http://schemas.openxmlformats.org/drawingml/2006/main">
          <a:off x="400019" y="1467525"/>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(106/5)</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19C04-C6C5-4B2E-AD5B-EF7699F06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16</Pages>
  <Words>8183</Words>
  <Characters>46645</Characters>
  <Application>Microsoft Office Word</Application>
  <DocSecurity>0</DocSecurity>
  <Lines>388</Lines>
  <Paragraphs>109</Paragraphs>
  <ScaleCrop>false</ScaleCrop>
  <Company>Ministry of Economic Affairs,R.O.C</Company>
  <LinksUpToDate>false</LinksUpToDate>
  <CharactersWithSpaces>54719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汪惠慈</cp:lastModifiedBy>
  <cp:revision>81</cp:revision>
  <cp:lastPrinted>2017-06-28T03:56:00Z</cp:lastPrinted>
  <dcterms:created xsi:type="dcterms:W3CDTF">2017-06-26T05:58:00Z</dcterms:created>
  <dcterms:modified xsi:type="dcterms:W3CDTF">2017-06-28T07:09:00Z</dcterms:modified>
</cp:coreProperties>
</file>