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5" w:rsidRDefault="0031587B" w:rsidP="00EC4B55">
      <w:pPr>
        <w:pStyle w:val="a3"/>
        <w:widowControl/>
        <w:spacing w:line="500" w:lineRule="exact"/>
        <w:ind w:leftChars="0" w:left="0"/>
        <w:jc w:val="both"/>
        <w:rPr>
          <w:rFonts w:ascii="Century" w:eastAsia="標楷體" w:hAnsi="Century"/>
          <w:b/>
          <w:sz w:val="32"/>
          <w:szCs w:val="32"/>
        </w:rPr>
      </w:pPr>
      <w:r>
        <w:rPr>
          <w:rFonts w:ascii="Century" w:eastAsia="標楷體" w:hAnsi="Century" w:hint="eastAsia"/>
          <w:b/>
          <w:sz w:val="32"/>
          <w:szCs w:val="32"/>
        </w:rPr>
        <w:t>一、行政</w:t>
      </w:r>
      <w:r w:rsidR="00EC4B55">
        <w:rPr>
          <w:rFonts w:ascii="Century" w:eastAsia="標楷體" w:hAnsi="Century" w:hint="eastAsia"/>
          <w:b/>
          <w:sz w:val="32"/>
          <w:szCs w:val="32"/>
        </w:rPr>
        <w:t>院性別平等</w:t>
      </w:r>
      <w:r>
        <w:rPr>
          <w:rFonts w:ascii="Century" w:eastAsia="標楷體" w:hAnsi="Century" w:hint="eastAsia"/>
          <w:b/>
          <w:sz w:val="32"/>
          <w:szCs w:val="32"/>
        </w:rPr>
        <w:t>處成立緣起</w:t>
      </w:r>
      <w:bookmarkStart w:id="0" w:name="_GoBack"/>
      <w:bookmarkEnd w:id="0"/>
      <w:r>
        <w:rPr>
          <w:rFonts w:ascii="Century" w:eastAsia="標楷體" w:hAnsi="Century" w:hint="eastAsia"/>
          <w:b/>
          <w:sz w:val="32"/>
          <w:szCs w:val="32"/>
        </w:rPr>
        <w:t>:</w:t>
      </w:r>
    </w:p>
    <w:p w:rsidR="00EC4B55" w:rsidRPr="00EC4B55" w:rsidRDefault="0031587B" w:rsidP="0031587B">
      <w:pPr>
        <w:pStyle w:val="a3"/>
        <w:widowControl/>
        <w:spacing w:line="500" w:lineRule="exact"/>
        <w:ind w:leftChars="0" w:left="0" w:firstLineChars="201" w:firstLine="643"/>
        <w:jc w:val="both"/>
        <w:rPr>
          <w:rFonts w:ascii="Century" w:eastAsia="標楷體" w:hAnsi="Century"/>
          <w:sz w:val="32"/>
          <w:szCs w:val="32"/>
        </w:rPr>
      </w:pPr>
      <w:r>
        <w:rPr>
          <w:rFonts w:ascii="Century" w:eastAsia="標楷體" w:hAnsi="Century" w:hint="eastAsia"/>
          <w:sz w:val="32"/>
          <w:szCs w:val="32"/>
        </w:rPr>
        <w:t>1</w:t>
      </w:r>
      <w:r w:rsidR="00EC4B55" w:rsidRPr="00EC4B55">
        <w:rPr>
          <w:rFonts w:ascii="Century" w:eastAsia="標楷體" w:hAnsi="Century" w:hint="eastAsia"/>
          <w:sz w:val="32"/>
          <w:szCs w:val="32"/>
        </w:rPr>
        <w:t>01</w:t>
      </w:r>
      <w:r w:rsidR="00EC4B55" w:rsidRPr="00EC4B55">
        <w:rPr>
          <w:rFonts w:ascii="Century" w:eastAsia="標楷體" w:hAnsi="Century" w:hint="eastAsia"/>
          <w:sz w:val="32"/>
          <w:szCs w:val="32"/>
        </w:rPr>
        <w:t>年</w:t>
      </w:r>
      <w:r w:rsidR="00EC4B55" w:rsidRPr="00EC4B55">
        <w:rPr>
          <w:rFonts w:ascii="Century" w:eastAsia="標楷體" w:hAnsi="Century" w:hint="eastAsia"/>
          <w:sz w:val="32"/>
          <w:szCs w:val="32"/>
        </w:rPr>
        <w:t>1</w:t>
      </w:r>
      <w:r w:rsidR="00EC4B55" w:rsidRPr="00EC4B55">
        <w:rPr>
          <w:rFonts w:ascii="Century" w:eastAsia="標楷體" w:hAnsi="Century" w:hint="eastAsia"/>
          <w:sz w:val="32"/>
          <w:szCs w:val="32"/>
        </w:rPr>
        <w:t>月</w:t>
      </w:r>
      <w:r w:rsidR="00EC4B55" w:rsidRPr="00EC4B55">
        <w:rPr>
          <w:rFonts w:ascii="Century" w:eastAsia="標楷體" w:hAnsi="Century" w:hint="eastAsia"/>
          <w:sz w:val="32"/>
          <w:szCs w:val="32"/>
        </w:rPr>
        <w:t>1</w:t>
      </w:r>
      <w:r w:rsidR="00EC4B55" w:rsidRPr="00EC4B55">
        <w:rPr>
          <w:rFonts w:ascii="Century" w:eastAsia="標楷體" w:hAnsi="Century" w:hint="eastAsia"/>
          <w:sz w:val="32"/>
          <w:szCs w:val="32"/>
        </w:rPr>
        <w:t>日行政院院本部組織改造，為強化我國推動性別平等工作之措施，並呼應國際重視性別平等議題之潮流，</w:t>
      </w:r>
      <w:proofErr w:type="gramStart"/>
      <w:r w:rsidR="00EC4B55" w:rsidRPr="00EC4B55">
        <w:rPr>
          <w:rFonts w:ascii="Century" w:eastAsia="標楷體" w:hAnsi="Century" w:hint="eastAsia"/>
          <w:sz w:val="32"/>
          <w:szCs w:val="32"/>
        </w:rPr>
        <w:t>特</w:t>
      </w:r>
      <w:proofErr w:type="gramEnd"/>
      <w:r w:rsidR="00EC4B55" w:rsidRPr="00EC4B55">
        <w:rPr>
          <w:rFonts w:ascii="Century" w:eastAsia="標楷體" w:hAnsi="Century" w:hint="eastAsia"/>
          <w:sz w:val="32"/>
          <w:szCs w:val="32"/>
        </w:rPr>
        <w:t>於行政院內成立性別平等處，為我國第一個性別平等專責機制，並將「行政院婦女權益促進委員會」擴大為「行政院性別平等會」（以下簡稱性平會），由性別平等處擔任性平會幕僚工作，統合跨部會各項性別平等政策，督導中央各部會及地方政府落實性別主流化，使政府整體施政能落實性別平等及納入性別觀點，為我國推動性別平等工作重要的里程碑。</w:t>
      </w:r>
    </w:p>
    <w:p w:rsidR="00EC4B55" w:rsidRDefault="00EC4B55" w:rsidP="00EC4B55">
      <w:pPr>
        <w:pStyle w:val="a3"/>
        <w:widowControl/>
        <w:spacing w:line="500" w:lineRule="exact"/>
        <w:ind w:leftChars="0" w:left="0"/>
        <w:jc w:val="both"/>
        <w:rPr>
          <w:rFonts w:ascii="Century" w:eastAsia="標楷體" w:hAnsi="Century"/>
          <w:b/>
          <w:sz w:val="32"/>
          <w:szCs w:val="32"/>
        </w:rPr>
      </w:pPr>
    </w:p>
    <w:p w:rsidR="00EC4B55" w:rsidRPr="007D1E77" w:rsidRDefault="0031587B" w:rsidP="00EC4B55">
      <w:pPr>
        <w:pStyle w:val="a3"/>
        <w:widowControl/>
        <w:spacing w:line="500" w:lineRule="exact"/>
        <w:ind w:leftChars="0" w:left="0"/>
        <w:jc w:val="both"/>
        <w:rPr>
          <w:rFonts w:ascii="Century" w:eastAsia="標楷體" w:hAnsi="Century"/>
          <w:b/>
          <w:sz w:val="32"/>
          <w:szCs w:val="32"/>
        </w:rPr>
      </w:pPr>
      <w:r>
        <w:rPr>
          <w:rFonts w:ascii="Century" w:eastAsia="標楷體" w:hAnsi="Century" w:hint="eastAsia"/>
          <w:b/>
          <w:sz w:val="32"/>
          <w:szCs w:val="32"/>
        </w:rPr>
        <w:t>二、</w:t>
      </w:r>
      <w:r w:rsidR="00EC4B55">
        <w:rPr>
          <w:rFonts w:ascii="Century" w:eastAsia="標楷體" w:hAnsi="Century" w:hint="eastAsia"/>
          <w:b/>
          <w:sz w:val="32"/>
          <w:szCs w:val="32"/>
        </w:rPr>
        <w:t>行政院性別平等處組織職掌</w:t>
      </w:r>
      <w:r>
        <w:rPr>
          <w:rFonts w:ascii="Century" w:eastAsia="標楷體" w:hAnsi="Century" w:hint="eastAsia"/>
          <w:spacing w:val="-20"/>
          <w:sz w:val="32"/>
          <w:szCs w:val="32"/>
        </w:rPr>
        <w:t>:</w:t>
      </w:r>
    </w:p>
    <w:p w:rsidR="00EC4B55" w:rsidRPr="007D1E77" w:rsidRDefault="00EC4B55" w:rsidP="0031587B">
      <w:pPr>
        <w:spacing w:line="500" w:lineRule="exact"/>
        <w:ind w:left="770" w:hangingChars="275" w:hanging="770"/>
        <w:jc w:val="both"/>
        <w:rPr>
          <w:rFonts w:ascii="Century" w:eastAsia="標楷體" w:hAnsi="Century"/>
          <w:spacing w:val="-20"/>
          <w:sz w:val="32"/>
          <w:szCs w:val="32"/>
        </w:rPr>
      </w:pPr>
      <w:r w:rsidRPr="007D1E77">
        <w:rPr>
          <w:rFonts w:ascii="Century" w:eastAsia="標楷體" w:hAnsi="Century"/>
          <w:spacing w:val="-20"/>
          <w:sz w:val="32"/>
          <w:szCs w:val="32"/>
        </w:rPr>
        <w:t>（一）性別平等基本政策、法案、計畫、工作報告之綜合規劃、協調、審議、宣導、研究發展及督導。</w:t>
      </w:r>
      <w:r w:rsidRPr="007D1E77">
        <w:rPr>
          <w:rFonts w:ascii="Century" w:eastAsia="標楷體" w:hAnsi="Century"/>
          <w:spacing w:val="-20"/>
          <w:sz w:val="32"/>
          <w:szCs w:val="32"/>
        </w:rPr>
        <w:t xml:space="preserve"> </w:t>
      </w:r>
    </w:p>
    <w:p w:rsidR="00EC4B55" w:rsidRPr="007D1E77" w:rsidRDefault="00EC4B55" w:rsidP="0031587B">
      <w:pPr>
        <w:spacing w:line="500" w:lineRule="exact"/>
        <w:ind w:left="630" w:hangingChars="225" w:hanging="630"/>
        <w:jc w:val="both"/>
        <w:rPr>
          <w:rFonts w:ascii="Century" w:eastAsia="標楷體" w:hAnsi="Century"/>
          <w:spacing w:val="-20"/>
          <w:sz w:val="32"/>
          <w:szCs w:val="32"/>
        </w:rPr>
      </w:pPr>
      <w:r w:rsidRPr="007D1E77">
        <w:rPr>
          <w:rFonts w:ascii="Century" w:eastAsia="標楷體" w:hAnsi="Century"/>
          <w:spacing w:val="-20"/>
          <w:sz w:val="32"/>
          <w:szCs w:val="32"/>
        </w:rPr>
        <w:t>（二）下列事項之政策</w:t>
      </w:r>
      <w:proofErr w:type="gramStart"/>
      <w:r w:rsidRPr="007D1E77">
        <w:rPr>
          <w:rFonts w:ascii="Century" w:eastAsia="標楷體" w:hAnsi="Century"/>
          <w:spacing w:val="-20"/>
          <w:sz w:val="32"/>
          <w:szCs w:val="32"/>
        </w:rPr>
        <w:t>研</w:t>
      </w:r>
      <w:proofErr w:type="gramEnd"/>
      <w:r w:rsidRPr="007D1E77">
        <w:rPr>
          <w:rFonts w:ascii="Century" w:eastAsia="標楷體" w:hAnsi="Century"/>
          <w:spacing w:val="-20"/>
          <w:sz w:val="32"/>
          <w:szCs w:val="32"/>
        </w:rPr>
        <w:t>議、法案審查、計畫核議、及業務督導：</w:t>
      </w:r>
      <w:r w:rsidRPr="007D1E77">
        <w:rPr>
          <w:rFonts w:ascii="Century" w:eastAsia="標楷體" w:hAnsi="Century"/>
          <w:spacing w:val="-20"/>
          <w:sz w:val="32"/>
          <w:szCs w:val="32"/>
        </w:rPr>
        <w:br/>
        <w:t>1.</w:t>
      </w:r>
      <w:r w:rsidRPr="007D1E77">
        <w:rPr>
          <w:rFonts w:ascii="Century" w:eastAsia="標楷體" w:hAnsi="Century"/>
          <w:spacing w:val="-20"/>
          <w:sz w:val="32"/>
          <w:szCs w:val="32"/>
        </w:rPr>
        <w:t>性別平等權益促進。</w:t>
      </w:r>
      <w:r w:rsidRPr="007D1E77">
        <w:rPr>
          <w:rFonts w:ascii="Century" w:eastAsia="標楷體" w:hAnsi="Century"/>
          <w:spacing w:val="-20"/>
          <w:sz w:val="32"/>
          <w:szCs w:val="32"/>
        </w:rPr>
        <w:br/>
        <w:t>2.</w:t>
      </w:r>
      <w:r w:rsidRPr="007D1E77">
        <w:rPr>
          <w:rFonts w:ascii="Century" w:eastAsia="標楷體" w:hAnsi="Century"/>
          <w:spacing w:val="-20"/>
          <w:sz w:val="32"/>
          <w:szCs w:val="32"/>
        </w:rPr>
        <w:t>性別平等權利保障。</w:t>
      </w:r>
      <w:r w:rsidRPr="007D1E77">
        <w:rPr>
          <w:rFonts w:ascii="Century" w:eastAsia="標楷體" w:hAnsi="Century"/>
          <w:spacing w:val="-20"/>
          <w:sz w:val="32"/>
          <w:szCs w:val="32"/>
        </w:rPr>
        <w:br/>
        <w:t>3.</w:t>
      </w:r>
      <w:r w:rsidRPr="007D1E77">
        <w:rPr>
          <w:rFonts w:ascii="Century" w:eastAsia="標楷體" w:hAnsi="Century"/>
          <w:spacing w:val="-20"/>
          <w:sz w:val="32"/>
          <w:szCs w:val="32"/>
        </w:rPr>
        <w:t>性別平等推廣發展。</w:t>
      </w:r>
      <w:r w:rsidRPr="007D1E77">
        <w:rPr>
          <w:rFonts w:ascii="Century" w:eastAsia="標楷體" w:hAnsi="Century"/>
          <w:spacing w:val="-20"/>
          <w:sz w:val="32"/>
          <w:szCs w:val="32"/>
        </w:rPr>
        <w:br/>
        <w:t>4.</w:t>
      </w:r>
      <w:r w:rsidRPr="007D1E77">
        <w:rPr>
          <w:rFonts w:ascii="Century" w:eastAsia="標楷體" w:hAnsi="Century"/>
          <w:spacing w:val="-20"/>
          <w:sz w:val="32"/>
          <w:szCs w:val="32"/>
        </w:rPr>
        <w:t>性別主流化。</w:t>
      </w:r>
      <w:r w:rsidRPr="007D1E77">
        <w:rPr>
          <w:rFonts w:ascii="Century" w:eastAsia="標楷體" w:hAnsi="Century"/>
          <w:spacing w:val="-20"/>
          <w:sz w:val="32"/>
          <w:szCs w:val="32"/>
        </w:rPr>
        <w:br/>
        <w:t>5.</w:t>
      </w:r>
      <w:r w:rsidRPr="007D1E77">
        <w:rPr>
          <w:rFonts w:ascii="Century" w:eastAsia="標楷體" w:hAnsi="Century"/>
          <w:spacing w:val="-20"/>
          <w:sz w:val="32"/>
          <w:szCs w:val="32"/>
        </w:rPr>
        <w:t>其他有關性別平等及性別主流化事項。</w:t>
      </w:r>
      <w:r w:rsidRPr="007D1E77">
        <w:rPr>
          <w:rFonts w:ascii="Century" w:eastAsia="標楷體" w:hAnsi="Century"/>
          <w:spacing w:val="-20"/>
          <w:sz w:val="32"/>
          <w:szCs w:val="32"/>
        </w:rPr>
        <w:t xml:space="preserve"> </w:t>
      </w:r>
    </w:p>
    <w:p w:rsidR="00EC4B55" w:rsidRPr="007D1E77" w:rsidRDefault="00EC4B55" w:rsidP="0031587B">
      <w:pPr>
        <w:spacing w:line="500" w:lineRule="exact"/>
        <w:ind w:left="798" w:hangingChars="285" w:hanging="798"/>
        <w:jc w:val="both"/>
        <w:rPr>
          <w:rFonts w:ascii="Century" w:eastAsia="標楷體" w:hAnsi="Century"/>
          <w:spacing w:val="-20"/>
          <w:sz w:val="32"/>
          <w:szCs w:val="32"/>
        </w:rPr>
      </w:pPr>
      <w:r w:rsidRPr="007D1E77">
        <w:rPr>
          <w:rFonts w:ascii="Century" w:eastAsia="標楷體" w:hAnsi="Century"/>
          <w:spacing w:val="-20"/>
          <w:sz w:val="32"/>
          <w:szCs w:val="32"/>
        </w:rPr>
        <w:t>（三）推動與落實消除對婦女一切形式歧視公約及其施行法、國家報告之編纂。</w:t>
      </w:r>
      <w:r w:rsidRPr="007D1E77">
        <w:rPr>
          <w:rFonts w:ascii="Century" w:eastAsia="標楷體" w:hAnsi="Century"/>
          <w:spacing w:val="-20"/>
          <w:sz w:val="32"/>
          <w:szCs w:val="32"/>
        </w:rPr>
        <w:t xml:space="preserve"> </w:t>
      </w:r>
    </w:p>
    <w:p w:rsidR="00EC4B55" w:rsidRPr="007D1E77" w:rsidRDefault="00EC4B55" w:rsidP="00EC4B55">
      <w:pPr>
        <w:spacing w:line="500" w:lineRule="exact"/>
        <w:ind w:left="840" w:hangingChars="300" w:hanging="840"/>
        <w:jc w:val="both"/>
        <w:rPr>
          <w:rFonts w:ascii="Century" w:eastAsia="標楷體" w:hAnsi="Century"/>
          <w:spacing w:val="-20"/>
          <w:sz w:val="32"/>
          <w:szCs w:val="32"/>
        </w:rPr>
      </w:pPr>
      <w:r w:rsidRPr="007D1E77">
        <w:rPr>
          <w:rFonts w:ascii="Century" w:eastAsia="標楷體" w:hAnsi="Century"/>
          <w:spacing w:val="-20"/>
          <w:sz w:val="32"/>
          <w:szCs w:val="32"/>
        </w:rPr>
        <w:t>（四）</w:t>
      </w:r>
      <w:r w:rsidR="0031587B">
        <w:rPr>
          <w:rFonts w:ascii="Century" w:eastAsia="標楷體" w:hAnsi="Century" w:hint="eastAsia"/>
          <w:spacing w:val="-20"/>
          <w:sz w:val="32"/>
          <w:szCs w:val="32"/>
        </w:rPr>
        <w:t>行政</w:t>
      </w:r>
      <w:r w:rsidRPr="007D1E77">
        <w:rPr>
          <w:rFonts w:ascii="Century" w:eastAsia="標楷體" w:hAnsi="Century"/>
          <w:spacing w:val="-20"/>
          <w:sz w:val="32"/>
          <w:szCs w:val="32"/>
        </w:rPr>
        <w:t>院性別平等會業務運作、追蹤決議、部會性別平等專案小組及性別聯絡人綜合規劃、協調。</w:t>
      </w:r>
    </w:p>
    <w:p w:rsidR="00B56152" w:rsidRPr="00EC4B55" w:rsidRDefault="00B56152" w:rsidP="00EC4B55"/>
    <w:sectPr w:rsidR="00B56152" w:rsidRPr="00EC4B55" w:rsidSect="00B56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5"/>
    <w:rsid w:val="0031587B"/>
    <w:rsid w:val="00630E09"/>
    <w:rsid w:val="00805E51"/>
    <w:rsid w:val="00B56152"/>
    <w:rsid w:val="00EC4B55"/>
    <w:rsid w:val="00F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55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5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C4B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semiHidden/>
    <w:unhideWhenUsed/>
    <w:qFormat/>
    <w:rsid w:val="00EC4B5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55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5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C4B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semiHidden/>
    <w:unhideWhenUsed/>
    <w:qFormat/>
    <w:rsid w:val="00EC4B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Ministry of Economic Affairs,R.O.C.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性別平等處綜合規劃科陳博</dc:creator>
  <cp:lastModifiedBy>吳佩姮</cp:lastModifiedBy>
  <cp:revision>2</cp:revision>
  <dcterms:created xsi:type="dcterms:W3CDTF">2012-10-08T05:10:00Z</dcterms:created>
  <dcterms:modified xsi:type="dcterms:W3CDTF">2012-10-08T05:10:00Z</dcterms:modified>
</cp:coreProperties>
</file>